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napToGrid/>
        <w:spacing w:line="44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一、</w:t>
      </w:r>
      <w:r>
        <w:rPr>
          <w:rFonts w:hint="eastAsia" w:ascii="宋体" w:hAnsi="宋体" w:eastAsia="宋体" w:cs="宋体"/>
          <w:b/>
          <w:sz w:val="24"/>
          <w:szCs w:val="24"/>
        </w:rPr>
        <w:t>输液泵</w:t>
      </w:r>
      <w:r>
        <w:rPr>
          <w:rFonts w:hint="eastAsia" w:ascii="宋体" w:hAnsi="宋体" w:cs="宋体"/>
          <w:b/>
          <w:sz w:val="24"/>
          <w:szCs w:val="24"/>
          <w:lang w:eastAsia="zh-CN"/>
        </w:rPr>
        <w:t>技术</w:t>
      </w:r>
      <w:r>
        <w:rPr>
          <w:rFonts w:hint="eastAsia" w:ascii="宋体" w:hAnsi="宋体" w:eastAsia="宋体" w:cs="宋体"/>
          <w:b/>
          <w:bCs/>
          <w:sz w:val="24"/>
          <w:szCs w:val="24"/>
        </w:rPr>
        <w:t>参数</w:t>
      </w:r>
    </w:p>
    <w:p>
      <w:pPr>
        <w:pStyle w:val="4"/>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1.速度设定范围：1ml/h～1200ml/h(最低每级1ml/h)</w:t>
      </w:r>
    </w:p>
    <w:p>
      <w:pPr>
        <w:pStyle w:val="4"/>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2.输液精度：≤±5%（优质输液器经校准标定后的精度）</w:t>
      </w:r>
    </w:p>
    <w:p>
      <w:pPr>
        <w:pStyle w:val="4"/>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3.冲洗速率：1000 ml/h</w:t>
      </w:r>
    </w:p>
    <w:p>
      <w:pPr>
        <w:pStyle w:val="4"/>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4.输 液 量：1ml～9999ml</w:t>
      </w:r>
    </w:p>
    <w:p>
      <w:pPr>
        <w:pStyle w:val="4"/>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5.累 计 量：0ml～9999ml（每级0.1ml）</w:t>
      </w:r>
    </w:p>
    <w:p>
      <w:pPr>
        <w:pStyle w:val="4"/>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6.阻塞压力范围三挡可调:</w:t>
      </w:r>
    </w:p>
    <w:p>
      <w:pPr>
        <w:pStyle w:val="4"/>
        <w:pageBreakBefore w:val="0"/>
        <w:widowControl w:val="0"/>
        <w:kinsoku/>
        <w:wordWrap/>
        <w:overflowPunct/>
        <w:topLinePunct w:val="0"/>
        <w:bidi w:val="0"/>
        <w:snapToGrid/>
        <w:spacing w:line="440" w:lineRule="atLeast"/>
        <w:ind w:firstLine="2760" w:firstLineChars="1150"/>
        <w:textAlignment w:val="auto"/>
        <w:rPr>
          <w:rFonts w:hint="eastAsia" w:ascii="宋体" w:hAnsi="宋体" w:eastAsia="宋体" w:cs="宋体"/>
          <w:sz w:val="24"/>
          <w:szCs w:val="24"/>
        </w:rPr>
      </w:pPr>
      <w:r>
        <w:rPr>
          <w:rFonts w:hint="eastAsia" w:ascii="宋体" w:hAnsi="宋体" w:eastAsia="宋体" w:cs="宋体"/>
          <w:sz w:val="24"/>
          <w:szCs w:val="24"/>
        </w:rPr>
        <w:t>高：120kPa</w:t>
      </w:r>
    </w:p>
    <w:p>
      <w:pPr>
        <w:pStyle w:val="4"/>
        <w:pageBreakBefore w:val="0"/>
        <w:widowControl w:val="0"/>
        <w:kinsoku/>
        <w:wordWrap/>
        <w:overflowPunct/>
        <w:topLinePunct w:val="0"/>
        <w:bidi w:val="0"/>
        <w:snapToGrid/>
        <w:spacing w:line="440" w:lineRule="atLeast"/>
        <w:ind w:firstLine="2760" w:firstLineChars="1150"/>
        <w:textAlignment w:val="auto"/>
        <w:rPr>
          <w:rFonts w:hint="eastAsia" w:ascii="宋体" w:hAnsi="宋体" w:eastAsia="宋体" w:cs="宋体"/>
          <w:sz w:val="24"/>
          <w:szCs w:val="24"/>
        </w:rPr>
      </w:pPr>
      <w:r>
        <w:rPr>
          <w:rFonts w:hint="eastAsia" w:ascii="宋体" w:hAnsi="宋体" w:eastAsia="宋体" w:cs="宋体"/>
          <w:sz w:val="24"/>
          <w:szCs w:val="24"/>
        </w:rPr>
        <w:t>中：66.7kPa</w:t>
      </w:r>
    </w:p>
    <w:p>
      <w:pPr>
        <w:pStyle w:val="4"/>
        <w:pageBreakBefore w:val="0"/>
        <w:widowControl w:val="0"/>
        <w:kinsoku/>
        <w:wordWrap/>
        <w:overflowPunct/>
        <w:topLinePunct w:val="0"/>
        <w:bidi w:val="0"/>
        <w:snapToGrid/>
        <w:spacing w:line="440" w:lineRule="atLeast"/>
        <w:ind w:firstLine="2760" w:firstLineChars="1150"/>
        <w:textAlignment w:val="auto"/>
        <w:rPr>
          <w:rFonts w:hint="eastAsia" w:ascii="宋体" w:hAnsi="宋体" w:eastAsia="宋体" w:cs="宋体"/>
          <w:sz w:val="24"/>
          <w:szCs w:val="24"/>
        </w:rPr>
      </w:pPr>
      <w:r>
        <w:rPr>
          <w:rFonts w:hint="eastAsia" w:ascii="宋体" w:hAnsi="宋体" w:eastAsia="宋体" w:cs="宋体"/>
          <w:sz w:val="24"/>
          <w:szCs w:val="24"/>
        </w:rPr>
        <w:t>低：10kPa</w:t>
      </w:r>
    </w:p>
    <w:p>
      <w:pPr>
        <w:pStyle w:val="4"/>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7.具有KVO（保持静脉开通功能）速率：0ml/h～5ml/h（可调，每级1ml/h）</w:t>
      </w:r>
    </w:p>
    <w:p>
      <w:pPr>
        <w:pStyle w:val="4"/>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8.气泡探测器：超声波探测方式、探测灵敏度≥25ul</w:t>
      </w:r>
    </w:p>
    <w:p>
      <w:pPr>
        <w:pStyle w:val="4"/>
        <w:pageBreakBefore w:val="0"/>
        <w:widowControl w:val="0"/>
        <w:kinsoku/>
        <w:wordWrap/>
        <w:overflowPunct/>
        <w:topLinePunct w:val="0"/>
        <w:bidi w:val="0"/>
        <w:snapToGrid/>
        <w:spacing w:line="44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9.报警功能：包括管路阻塞、输液即将完毕、输液完毕、输注不畅（预报警）、管路气泡、门未关启动报警、市电故障或电源线脱落报警、电池电量耗尽报警、电池欠压报警、遗忘操作报警、系统出错报警、输液量设置提示、快进键可能失灵提示、所选输液器未校准提示、KVO完毕报警。</w:t>
      </w:r>
    </w:p>
    <w:p>
      <w:pPr>
        <w:pStyle w:val="4"/>
        <w:pageBreakBefore w:val="0"/>
        <w:widowControl w:val="0"/>
        <w:kinsoku/>
        <w:wordWrap/>
        <w:overflowPunct/>
        <w:topLinePunct w:val="0"/>
        <w:bidi w:val="0"/>
        <w:snapToGrid/>
        <w:spacing w:line="440" w:lineRule="atLeast"/>
        <w:ind w:left="60" w:leftChars="0" w:hanging="60" w:hangingChars="25"/>
        <w:jc w:val="left"/>
        <w:textAlignment w:val="auto"/>
        <w:rPr>
          <w:rFonts w:hint="eastAsia" w:ascii="宋体" w:hAnsi="宋体" w:eastAsia="宋体" w:cs="宋体"/>
          <w:sz w:val="24"/>
          <w:szCs w:val="24"/>
        </w:rPr>
      </w:pPr>
      <w:r>
        <w:rPr>
          <w:rFonts w:hint="eastAsia" w:ascii="宋体" w:hAnsi="宋体" w:eastAsia="宋体" w:cs="宋体"/>
          <w:sz w:val="24"/>
          <w:szCs w:val="24"/>
        </w:rPr>
        <w:t>10.电  源：AC110-230V，50-60HZ；内置电池：DC12V充电电池组；电池充电≤16小时后，可供泵以25ml/h速率运行时，工作时间≥5.5小时以上（注：包含电池欠压报警时间。可根据顾客需求选配更大容量电池，以增加放电时间）。</w:t>
      </w:r>
    </w:p>
    <w:p>
      <w:pPr>
        <w:pStyle w:val="4"/>
        <w:pageBreakBefore w:val="0"/>
        <w:widowControl w:val="0"/>
        <w:kinsoku/>
        <w:wordWrap/>
        <w:overflowPunct/>
        <w:topLinePunct w:val="0"/>
        <w:bidi w:val="0"/>
        <w:snapToGrid/>
        <w:spacing w:line="440" w:lineRule="atLeast"/>
        <w:ind w:left="1440" w:hanging="1440" w:hangingChars="600"/>
        <w:textAlignment w:val="auto"/>
        <w:rPr>
          <w:rFonts w:hint="eastAsia" w:ascii="宋体" w:hAnsi="宋体" w:eastAsia="宋体" w:cs="宋体"/>
          <w:sz w:val="24"/>
          <w:szCs w:val="24"/>
        </w:rPr>
      </w:pPr>
      <w:r>
        <w:rPr>
          <w:rFonts w:hint="eastAsia" w:ascii="宋体" w:hAnsi="宋体" w:eastAsia="宋体" w:cs="宋体"/>
          <w:sz w:val="24"/>
          <w:szCs w:val="24"/>
        </w:rPr>
        <w:t>11.功  率：39VA</w:t>
      </w:r>
    </w:p>
    <w:p>
      <w:pPr>
        <w:pStyle w:val="4"/>
        <w:pageBreakBefore w:val="0"/>
        <w:widowControl w:val="0"/>
        <w:kinsoku/>
        <w:wordWrap/>
        <w:overflowPunct/>
        <w:topLinePunct w:val="0"/>
        <w:bidi w:val="0"/>
        <w:snapToGrid/>
        <w:spacing w:line="440" w:lineRule="atLeast"/>
        <w:ind w:left="1440" w:hanging="1440" w:hangingChars="600"/>
        <w:textAlignment w:val="auto"/>
        <w:rPr>
          <w:rFonts w:hint="eastAsia" w:ascii="宋体" w:hAnsi="宋体" w:eastAsia="宋体" w:cs="宋体"/>
          <w:sz w:val="24"/>
          <w:szCs w:val="24"/>
        </w:rPr>
      </w:pPr>
      <w:r>
        <w:rPr>
          <w:rFonts w:hint="eastAsia" w:ascii="宋体" w:hAnsi="宋体" w:eastAsia="宋体" w:cs="宋体"/>
          <w:sz w:val="24"/>
          <w:szCs w:val="24"/>
        </w:rPr>
        <w:t>12.操作历史纪录（黑匣子）：至少1500条</w:t>
      </w:r>
    </w:p>
    <w:p>
      <w:pPr>
        <w:pStyle w:val="4"/>
        <w:pageBreakBefore w:val="0"/>
        <w:widowControl w:val="0"/>
        <w:kinsoku/>
        <w:wordWrap/>
        <w:overflowPunct/>
        <w:topLinePunct w:val="0"/>
        <w:bidi w:val="0"/>
        <w:snapToGrid/>
        <w:spacing w:line="440" w:lineRule="atLeast"/>
        <w:ind w:left="1440" w:hanging="1440" w:hangingChars="600"/>
        <w:textAlignment w:val="auto"/>
        <w:rPr>
          <w:rFonts w:hint="eastAsia" w:ascii="宋体" w:hAnsi="宋体" w:eastAsia="宋体" w:cs="宋体"/>
          <w:sz w:val="24"/>
          <w:szCs w:val="24"/>
        </w:rPr>
      </w:pPr>
      <w:r>
        <w:rPr>
          <w:rFonts w:hint="eastAsia" w:ascii="宋体" w:hAnsi="宋体" w:eastAsia="宋体" w:cs="宋体"/>
          <w:sz w:val="24"/>
          <w:szCs w:val="24"/>
        </w:rPr>
        <w:t>13.输液历史纪录：</w:t>
      </w:r>
      <w:r>
        <w:rPr>
          <w:rFonts w:hint="eastAsia" w:ascii="宋体" w:hAnsi="宋体" w:eastAsia="宋体" w:cs="宋体"/>
          <w:sz w:val="24"/>
          <w:szCs w:val="24"/>
          <w:lang w:eastAsia="zh-CN"/>
        </w:rPr>
        <w:t>≥</w:t>
      </w:r>
      <w:r>
        <w:rPr>
          <w:rFonts w:hint="eastAsia" w:ascii="宋体" w:hAnsi="宋体" w:eastAsia="宋体" w:cs="宋体"/>
          <w:sz w:val="24"/>
          <w:szCs w:val="24"/>
        </w:rPr>
        <w:t>1200条</w:t>
      </w:r>
    </w:p>
    <w:p>
      <w:pPr>
        <w:pStyle w:val="4"/>
        <w:pageBreakBefore w:val="0"/>
        <w:widowControl w:val="0"/>
        <w:kinsoku/>
        <w:wordWrap/>
        <w:overflowPunct/>
        <w:topLinePunct w:val="0"/>
        <w:bidi w:val="0"/>
        <w:snapToGrid/>
        <w:spacing w:line="440" w:lineRule="atLeas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14.输液器：可以选用</w:t>
      </w:r>
      <w:r>
        <w:rPr>
          <w:rFonts w:hint="eastAsia" w:ascii="宋体" w:hAnsi="宋体" w:eastAsia="宋体" w:cs="宋体"/>
          <w:sz w:val="24"/>
          <w:szCs w:val="24"/>
          <w:lang w:eastAsia="zh-CN"/>
        </w:rPr>
        <w:t>多个厂家</w:t>
      </w:r>
      <w:r>
        <w:rPr>
          <w:rFonts w:hint="eastAsia" w:ascii="宋体" w:hAnsi="宋体" w:eastAsia="宋体" w:cs="宋体"/>
          <w:sz w:val="24"/>
          <w:szCs w:val="24"/>
        </w:rPr>
        <w:t>生产的一次性使用输液器，用户</w:t>
      </w:r>
      <w:r>
        <w:rPr>
          <w:rFonts w:hint="eastAsia" w:ascii="宋体" w:hAnsi="宋体" w:eastAsia="宋体" w:cs="宋体"/>
          <w:sz w:val="24"/>
          <w:szCs w:val="24"/>
          <w:lang w:eastAsia="zh-CN"/>
        </w:rPr>
        <w:t>可以</w:t>
      </w:r>
      <w:r>
        <w:rPr>
          <w:rFonts w:hint="eastAsia" w:ascii="宋体" w:hAnsi="宋体" w:eastAsia="宋体" w:cs="宋体"/>
          <w:sz w:val="24"/>
          <w:szCs w:val="24"/>
        </w:rPr>
        <w:t>自行校准。</w:t>
      </w:r>
    </w:p>
    <w:p>
      <w:pPr>
        <w:pStyle w:val="4"/>
        <w:pageBreakBefore w:val="0"/>
        <w:widowControl w:val="0"/>
        <w:kinsoku/>
        <w:wordWrap/>
        <w:overflowPunct/>
        <w:topLinePunct w:val="0"/>
        <w:bidi w:val="0"/>
        <w:snapToGrid/>
        <w:spacing w:line="440" w:lineRule="atLeas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15.运行环境条件：a) 温度: +5℃～+40℃   b) 相对湿度: 20%～90%  c)大气压86.0～106.0 kPa</w:t>
      </w:r>
    </w:p>
    <w:p>
      <w:pPr>
        <w:pStyle w:val="4"/>
        <w:pageBreakBefore w:val="0"/>
        <w:widowControl w:val="0"/>
        <w:kinsoku/>
        <w:wordWrap/>
        <w:overflowPunct/>
        <w:topLinePunct w:val="0"/>
        <w:bidi w:val="0"/>
        <w:snapToGrid/>
        <w:spacing w:line="440" w:lineRule="atLeast"/>
        <w:ind w:left="1440" w:hanging="1440" w:hangingChars="600"/>
        <w:textAlignment w:val="auto"/>
        <w:rPr>
          <w:rFonts w:hint="eastAsia" w:ascii="宋体" w:hAnsi="宋体" w:eastAsia="宋体" w:cs="宋体"/>
          <w:sz w:val="24"/>
          <w:szCs w:val="24"/>
        </w:rPr>
      </w:pPr>
      <w:r>
        <w:rPr>
          <w:rFonts w:hint="eastAsia" w:ascii="宋体" w:hAnsi="宋体" w:eastAsia="宋体" w:cs="宋体"/>
          <w:sz w:val="24"/>
          <w:szCs w:val="24"/>
        </w:rPr>
        <w:t>16.运输和贮存条件：温度-40℃～+55℃   b) 相对湿度: ≤95%  c)大气压50.0～106.0 kPa</w:t>
      </w:r>
    </w:p>
    <w:p>
      <w:pPr>
        <w:pStyle w:val="4"/>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w:t>
      </w:r>
      <w:r>
        <w:rPr>
          <w:rFonts w:hint="eastAsia" w:ascii="宋体" w:hAnsi="宋体" w:eastAsia="宋体" w:cs="宋体"/>
          <w:sz w:val="24"/>
          <w:szCs w:val="24"/>
        </w:rPr>
        <w:t>重  量：≥2kg(含夹座)</w:t>
      </w:r>
    </w:p>
    <w:p>
      <w:pPr>
        <w:pStyle w:val="4"/>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.IP等级：IP×4属防溅水设备</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.类型：</w:t>
      </w:r>
      <w:r>
        <w:rPr>
          <w:rFonts w:hint="eastAsia" w:ascii="宋体" w:hAnsi="宋体" w:eastAsia="宋体" w:cs="宋体"/>
          <w:sz w:val="24"/>
          <w:szCs w:val="24"/>
        </w:rPr>
        <w:t>Ⅰ类CF型</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jc w:val="center"/>
        <w:textAlignment w:val="auto"/>
        <w:rPr>
          <w:rFonts w:hint="eastAsia" w:ascii="宋体" w:hAnsi="宋体" w:eastAsia="宋体" w:cs="宋体"/>
          <w:sz w:val="24"/>
          <w:szCs w:val="24"/>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光子治疗仪</w:t>
      </w:r>
      <w:r>
        <w:rPr>
          <w:rFonts w:hint="eastAsia" w:ascii="宋体" w:hAnsi="宋体" w:eastAsia="宋体" w:cs="宋体"/>
          <w:b/>
          <w:bCs/>
          <w:sz w:val="24"/>
          <w:szCs w:val="24"/>
        </w:rPr>
        <w:t>技术参数</w:t>
      </w:r>
    </w:p>
    <w:p>
      <w:pPr>
        <w:pageBreakBefore w:val="0"/>
        <w:widowControl w:val="0"/>
        <w:kinsoku/>
        <w:wordWrap/>
        <w:overflowPunct/>
        <w:topLinePunct w:val="0"/>
        <w:bidi w:val="0"/>
        <w:snapToGrid/>
        <w:spacing w:line="440" w:lineRule="atLeast"/>
        <w:jc w:val="center"/>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ind w:left="-420" w:leftChars="-20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适应症</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适用于消炎、镇痛，对体表创面有止渗液、促进肉芽组织生长、加速愈合的作用</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光源材料</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半导体固态光源</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峰值波长</w:t>
      </w:r>
      <w:r>
        <w:rPr>
          <w:rFonts w:hint="eastAsia" w:ascii="宋体" w:hAnsi="宋体" w:eastAsia="宋体" w:cs="宋体"/>
          <w:sz w:val="24"/>
          <w:szCs w:val="24"/>
          <w:lang w:val="en-US" w:eastAsia="zh-CN"/>
        </w:rPr>
        <w:t>：大概</w:t>
      </w:r>
      <w:r>
        <w:rPr>
          <w:rFonts w:hint="eastAsia" w:ascii="宋体" w:hAnsi="宋体" w:eastAsia="宋体" w:cs="宋体"/>
          <w:sz w:val="24"/>
          <w:szCs w:val="24"/>
          <w:lang w:val="en-US" w:eastAsia="zh-CN"/>
        </w:rPr>
        <w:t>640nm±10nm</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光功率密度（光源表面测量）</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≥1500mW/c㎡</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有效照射面积（光功率密度≥40mW/c㎡时的实测有效治疗面积）</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≥150c㎡</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光杯口平面面积</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≥52c㎡</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最大治疗深度</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治疗仪最大治疗深度≥10cm</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输出光功率（光杯口平面测量）</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≥8W</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光功率稳定度</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光功率变化率≤±1%</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照射治疗模式</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持续照射治疗</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定时时间</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可从0min～99min连续可调</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操作面板</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数码显示、高档薄膜按键</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输入功率</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200VA</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输入功率</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≤200VA</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氩气高频电刀</w:t>
      </w:r>
      <w:r>
        <w:rPr>
          <w:rFonts w:hint="eastAsia" w:ascii="宋体" w:hAnsi="宋体" w:eastAsia="宋体" w:cs="宋体"/>
          <w:b/>
          <w:bCs/>
          <w:sz w:val="24"/>
          <w:szCs w:val="24"/>
        </w:rPr>
        <w:t>技术参数</w:t>
      </w:r>
    </w:p>
    <w:p>
      <w:pPr>
        <w:pStyle w:val="8"/>
        <w:pageBreakBefore w:val="0"/>
        <w:widowControl w:val="0"/>
        <w:kinsoku/>
        <w:wordWrap/>
        <w:overflowPunct/>
        <w:topLinePunct w:val="0"/>
        <w:bidi w:val="0"/>
        <w:snapToGrid/>
        <w:spacing w:line="440" w:lineRule="atLeast"/>
        <w:ind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一、参数需求</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1.设备要求：整机一体机设计。</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2.升级功能：要求采用模块化设计，并具备软硬件可持续升级功能。</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3.主机设置及操作要求：采用≥7寸大屏幕液晶彩色显示.集中显示功能，灵活的操作界面，产品功率和参数可通过按键方便调节，可存储≥10组临床经验设置。</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4.动识别功能：具有器械自动识别功能，即插即用，可屏幕显示。</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5.APC氩气补充系统要求：具有PPS功率峰值补偿系统 .自动功率调节输出系统.智能电压和电弧调节系统，能根据术中组织的需要动态输出所需功率.APC氩气补充系统，首次使用APC，氩气快速到达喷管前端，无操作延迟。</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6.电切电凝功率要求：单极模块电切功率≤300W，电凝功能≤120W。</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7.电切方式：≥4种电切方式，须包含内镜电切I.内镜电切Q.混切.纯切。</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8.电凝方式：≥4种电凝方式，须包含柔和电凝.强力电凝.喷射电凝.脉冲喷凝。</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9.智能系统要求：具有组织密度即时反馈技术，可根据人体不同组织的阻抗变化，恒定功率输出，响应速度达到毫秒级。保证电切/电凝的质量不受切割电极的形状.大小.被切割组织类型.切割速度的影响。</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10.功率设备要求：内镜电切功率≤300W，效果调节</w:t>
      </w:r>
      <w:r>
        <w:rPr>
          <w:rFonts w:hint="eastAsia" w:ascii="宋体" w:hAnsi="宋体" w:eastAsia="宋体" w:cs="宋体"/>
          <w:bCs/>
          <w:sz w:val="24"/>
          <w:szCs w:val="24"/>
          <w:lang w:val="en-US" w:eastAsia="zh-CN"/>
        </w:rPr>
        <w:t>可以多档调节</w:t>
      </w:r>
      <w:r>
        <w:rPr>
          <w:rFonts w:hint="eastAsia" w:ascii="宋体" w:hAnsi="宋体" w:eastAsia="宋体" w:cs="宋体"/>
          <w:bCs/>
          <w:sz w:val="24"/>
          <w:szCs w:val="24"/>
        </w:rPr>
        <w:t>。</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11.电切.电凝智能化自动交替进行，最大限度地避免出现出血或穿孔等并发症。</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12.具有氩离子电凝止血术（氩气刀）：用于术中止血和组织的失活，氩气控制器与高频电刀一体式设计。</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13.氩等离子喷射电凝模式,功率调节范围：1-120W，凝血深度≤3mm。</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14.具有氩气流量恒定输出监测系统及电极末端压力自动恒定系统。</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15.显示监测系统：具有电极板接触质量数字化显示监测系统。</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16.可升级同品牌的水泵.气泵兼容使用，使手术更安全.方便。</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17.氩气电极：一次性使用氩气电极，具有色环标记，须有多种喷口方向的软管可供选择，选择规格≥6个。</w:t>
      </w:r>
    </w:p>
    <w:p>
      <w:pPr>
        <w:pageBreakBefore w:val="0"/>
        <w:widowControl w:val="0"/>
        <w:kinsoku/>
        <w:wordWrap/>
        <w:overflowPunct/>
        <w:topLinePunct w:val="0"/>
        <w:bidi w:val="0"/>
        <w:snapToGrid/>
        <w:spacing w:line="440" w:lineRule="atLeas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18.氩气输入压力：0.15～0.90Mpa。</w:t>
      </w:r>
    </w:p>
    <w:p>
      <w:pPr>
        <w:pageBreakBefore w:val="0"/>
        <w:widowControl w:val="0"/>
        <w:kinsoku/>
        <w:wordWrap/>
        <w:overflowPunct/>
        <w:topLinePunct w:val="0"/>
        <w:bidi w:val="0"/>
        <w:snapToGrid/>
        <w:spacing w:line="440" w:lineRule="atLeast"/>
        <w:ind w:left="210" w:leftChars="100" w:firstLine="240" w:firstLineChars="1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19.氩气输出流量范围：0.1 L/min ～ 9.0 L/min（ 步幅0.1L/min）。 </w:t>
      </w:r>
    </w:p>
    <w:p>
      <w:pPr>
        <w:pageBreakBefore w:val="0"/>
        <w:widowControl w:val="0"/>
        <w:kinsoku/>
        <w:wordWrap/>
        <w:overflowPunct/>
        <w:topLinePunct w:val="0"/>
        <w:bidi w:val="0"/>
        <w:snapToGrid/>
        <w:spacing w:line="4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20.设备尺寸（长×宽×高）：</w:t>
      </w:r>
      <w:r>
        <w:rPr>
          <w:rFonts w:hint="eastAsia" w:ascii="宋体" w:hAnsi="宋体" w:eastAsia="宋体" w:cs="宋体"/>
          <w:sz w:val="24"/>
          <w:szCs w:val="24"/>
        </w:rPr>
        <w:t>≥</w:t>
      </w:r>
      <w:r>
        <w:rPr>
          <w:rFonts w:hint="eastAsia" w:ascii="宋体" w:hAnsi="宋体" w:eastAsia="宋体" w:cs="宋体"/>
          <w:sz w:val="24"/>
          <w:szCs w:val="24"/>
        </w:rPr>
        <w:t>420 mm×4</w:t>
      </w:r>
      <w:r>
        <w:rPr>
          <w:rFonts w:hint="eastAsia" w:ascii="宋体" w:hAnsi="宋体" w:eastAsia="宋体" w:cs="宋体"/>
          <w:sz w:val="24"/>
          <w:szCs w:val="24"/>
        </w:rPr>
        <w:t>2</w:t>
      </w:r>
      <w:r>
        <w:rPr>
          <w:rFonts w:hint="eastAsia" w:ascii="宋体" w:hAnsi="宋体" w:eastAsia="宋体" w:cs="宋体"/>
          <w:sz w:val="24"/>
          <w:szCs w:val="24"/>
        </w:rPr>
        <w:t>0</w:t>
      </w:r>
      <w:r>
        <w:rPr>
          <w:rFonts w:hint="eastAsia" w:ascii="宋体" w:hAnsi="宋体" w:eastAsia="宋体" w:cs="宋体"/>
          <w:sz w:val="24"/>
          <w:szCs w:val="24"/>
        </w:rPr>
        <w:t>mm</w:t>
      </w:r>
      <w:r>
        <w:rPr>
          <w:rFonts w:hint="eastAsia" w:ascii="宋体" w:hAnsi="宋体" w:eastAsia="宋体" w:cs="宋体"/>
          <w:sz w:val="24"/>
          <w:szCs w:val="24"/>
        </w:rPr>
        <w:t>×160 mm±5</w:t>
      </w:r>
      <w:r>
        <w:rPr>
          <w:rFonts w:hint="eastAsia" w:ascii="宋体" w:hAnsi="宋体" w:eastAsia="宋体" w:cs="宋体"/>
          <w:sz w:val="24"/>
          <w:szCs w:val="24"/>
        </w:rPr>
        <w:t>mm</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atLeast"/>
        <w:jc w:val="center"/>
        <w:textAlignment w:val="auto"/>
        <w:rPr>
          <w:rFonts w:hint="eastAsia" w:ascii="宋体" w:hAnsi="宋体" w:eastAsia="宋体" w:cs="宋体"/>
          <w:b/>
          <w:bCs/>
          <w:sz w:val="24"/>
          <w:szCs w:val="24"/>
        </w:rPr>
      </w:pPr>
    </w:p>
    <w:p>
      <w:pPr>
        <w:pageBreakBefore w:val="0"/>
        <w:widowControl w:val="0"/>
        <w:kinsoku/>
        <w:wordWrap/>
        <w:overflowPunct/>
        <w:topLinePunct w:val="0"/>
        <w:bidi w:val="0"/>
        <w:snapToGrid/>
        <w:spacing w:line="440" w:lineRule="atLeast"/>
        <w:jc w:val="center"/>
        <w:textAlignment w:val="auto"/>
        <w:rPr>
          <w:rFonts w:hint="eastAsia" w:ascii="宋体" w:hAnsi="宋体" w:eastAsia="宋体" w:cs="宋体"/>
          <w:b/>
          <w:bCs/>
          <w:sz w:val="24"/>
          <w:szCs w:val="24"/>
        </w:rPr>
      </w:pPr>
    </w:p>
    <w:p>
      <w:pPr>
        <w:pageBreakBefore w:val="0"/>
        <w:widowControl w:val="0"/>
        <w:kinsoku/>
        <w:wordWrap/>
        <w:overflowPunct/>
        <w:topLinePunct w:val="0"/>
        <w:bidi w:val="0"/>
        <w:snapToGrid/>
        <w:spacing w:line="440" w:lineRule="atLeast"/>
        <w:jc w:val="center"/>
        <w:textAlignment w:val="auto"/>
        <w:rPr>
          <w:rFonts w:hint="eastAsia" w:ascii="宋体" w:hAnsi="宋体" w:eastAsia="宋体" w:cs="宋体"/>
          <w:sz w:val="24"/>
          <w:szCs w:val="24"/>
        </w:rPr>
      </w:pPr>
      <w:r>
        <w:rPr>
          <w:rFonts w:hint="eastAsia" w:ascii="宋体" w:hAnsi="宋体" w:cs="宋体"/>
          <w:b/>
          <w:bCs/>
          <w:sz w:val="24"/>
          <w:szCs w:val="24"/>
          <w:lang w:eastAsia="zh-CN"/>
        </w:rPr>
        <w:t>四、</w:t>
      </w:r>
      <w:r>
        <w:rPr>
          <w:rFonts w:hint="eastAsia" w:ascii="宋体" w:hAnsi="宋体" w:eastAsia="宋体" w:cs="宋体"/>
          <w:b/>
          <w:bCs/>
          <w:sz w:val="24"/>
          <w:szCs w:val="24"/>
        </w:rPr>
        <w:t>拉钩（胸腹腋提腔组合拉钩）</w:t>
      </w:r>
      <w:r>
        <w:rPr>
          <w:rFonts w:hint="eastAsia" w:ascii="宋体" w:hAnsi="宋体" w:cs="宋体"/>
          <w:b/>
          <w:bCs/>
          <w:sz w:val="24"/>
          <w:szCs w:val="24"/>
          <w:lang w:eastAsia="zh-CN"/>
        </w:rPr>
        <w:t>技术</w:t>
      </w:r>
      <w:r>
        <w:rPr>
          <w:rFonts w:hint="eastAsia" w:ascii="宋体" w:hAnsi="宋体" w:eastAsia="宋体" w:cs="宋体"/>
          <w:b/>
          <w:bCs/>
          <w:sz w:val="24"/>
          <w:szCs w:val="24"/>
        </w:rPr>
        <w:t>参数</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一、</w:t>
      </w:r>
      <w:r>
        <w:rPr>
          <w:rFonts w:hint="eastAsia" w:ascii="宋体" w:hAnsi="宋体" w:eastAsia="宋体" w:cs="宋体"/>
          <w:sz w:val="24"/>
          <w:szCs w:val="24"/>
        </w:rPr>
        <w:t xml:space="preserve">功能用途 </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用于开展无充气甲状腺手术</w:t>
      </w:r>
      <w:r>
        <w:rPr>
          <w:rFonts w:hint="eastAsia" w:ascii="宋体" w:hAnsi="宋体" w:eastAsia="宋体" w:cs="宋体"/>
          <w:sz w:val="24"/>
          <w:szCs w:val="24"/>
          <w:lang w:eastAsia="zh-CN"/>
        </w:rPr>
        <w:t>，</w:t>
      </w:r>
      <w:r>
        <w:rPr>
          <w:rFonts w:hint="eastAsia" w:ascii="宋体" w:hAnsi="宋体" w:eastAsia="宋体" w:cs="宋体"/>
          <w:sz w:val="24"/>
          <w:szCs w:val="24"/>
        </w:rPr>
        <w:t>甲状腺结节及肿瘤病灶手术</w:t>
      </w:r>
      <w:r>
        <w:rPr>
          <w:rFonts w:hint="eastAsia" w:ascii="宋体" w:hAnsi="宋体" w:eastAsia="宋体" w:cs="宋体"/>
          <w:sz w:val="24"/>
          <w:szCs w:val="24"/>
          <w:lang w:eastAsia="zh-CN"/>
        </w:rPr>
        <w:t>，</w:t>
      </w:r>
      <w:r>
        <w:rPr>
          <w:rFonts w:hint="eastAsia" w:ascii="宋体" w:hAnsi="宋体" w:eastAsia="宋体" w:cs="宋体"/>
          <w:sz w:val="24"/>
          <w:szCs w:val="24"/>
        </w:rPr>
        <w:t>甲状腺癌手术切除等等</w:t>
      </w:r>
      <w:r>
        <w:rPr>
          <w:rFonts w:hint="eastAsia" w:ascii="宋体" w:hAnsi="宋体" w:eastAsia="宋体" w:cs="宋体"/>
          <w:sz w:val="24"/>
          <w:szCs w:val="24"/>
          <w:lang w:eastAsia="zh-CN"/>
        </w:rPr>
        <w:t>，</w:t>
      </w:r>
      <w:r>
        <w:rPr>
          <w:rFonts w:hint="eastAsia" w:ascii="宋体" w:hAnsi="宋体" w:eastAsia="宋体" w:cs="宋体"/>
          <w:sz w:val="24"/>
          <w:szCs w:val="24"/>
        </w:rPr>
        <w:t>达到颈部不留疤痕手术效果</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p>
    <w:p>
      <w:pPr>
        <w:pageBreakBefore w:val="0"/>
        <w:widowControl w:val="0"/>
        <w:numPr>
          <w:ilvl w:val="0"/>
          <w:numId w:val="0"/>
        </w:numPr>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主要技术参数</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床沿固定器                             1个</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固定支架（立杆、横杆）                 2根</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悬吊固定器                             1个</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提腔拉钩（带吸烟冲洗头宽40）左弯      1把</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提腔拉钩（带吸烟冲洗头宽40）右弯      1把</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医用拉勾（甲状腺自动拉钩）TSL双头     1把</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医用拉勾（甲状腺拉钩）                2把</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医用拉勾（直角拉钩）                  1把</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医用拉勾（直角拉钩）带吸烟冲洗功能    1把</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消毒箱                               1个 </w:t>
      </w: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ind w:left="-199" w:leftChars="-95"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ind w:left="-199" w:leftChars="-95" w:firstLine="0" w:firstLineChars="0"/>
        <w:textAlignment w:val="auto"/>
        <w:rPr>
          <w:rFonts w:hint="eastAsia" w:ascii="宋体" w:hAnsi="宋体" w:eastAsia="宋体" w:cs="宋体"/>
          <w:sz w:val="24"/>
          <w:szCs w:val="24"/>
          <w:lang w:val="en-US" w:eastAsia="zh-CN"/>
        </w:rPr>
      </w:pPr>
    </w:p>
    <w:p>
      <w:pPr>
        <w:pageBreakBefore w:val="0"/>
        <w:widowControl w:val="0"/>
        <w:numPr>
          <w:ilvl w:val="0"/>
          <w:numId w:val="0"/>
        </w:numPr>
        <w:kinsoku/>
        <w:wordWrap/>
        <w:overflowPunct/>
        <w:topLinePunct w:val="0"/>
        <w:bidi w:val="0"/>
        <w:snapToGrid/>
        <w:spacing w:line="440" w:lineRule="atLeast"/>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彩色多普勒超声诊断探头</w:t>
      </w:r>
      <w:r>
        <w:rPr>
          <w:rFonts w:hint="eastAsia" w:ascii="宋体" w:hAnsi="宋体" w:cs="宋体"/>
          <w:b/>
          <w:bCs/>
          <w:sz w:val="24"/>
          <w:szCs w:val="24"/>
          <w:lang w:val="en-US" w:eastAsia="zh-CN"/>
        </w:rPr>
        <w:t>技术</w:t>
      </w:r>
      <w:r>
        <w:rPr>
          <w:rFonts w:hint="eastAsia" w:ascii="宋体" w:hAnsi="宋体" w:eastAsia="宋体" w:cs="宋体"/>
          <w:b/>
          <w:bCs/>
          <w:sz w:val="24"/>
          <w:szCs w:val="24"/>
          <w:lang w:val="en-US" w:eastAsia="zh-CN"/>
        </w:rPr>
        <w:t>参数</w:t>
      </w:r>
    </w:p>
    <w:p>
      <w:pPr>
        <w:pageBreakBefore w:val="0"/>
        <w:widowControl w:val="0"/>
        <w:numPr>
          <w:ilvl w:val="0"/>
          <w:numId w:val="0"/>
        </w:numPr>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p>
    <w:p>
      <w:pPr>
        <w:pageBreakBefore w:val="0"/>
        <w:widowControl w:val="0"/>
        <w:numPr>
          <w:ilvl w:val="0"/>
          <w:numId w:val="1"/>
        </w:numPr>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探头阵元：128</w:t>
      </w:r>
    </w:p>
    <w:p>
      <w:pPr>
        <w:pageBreakBefore w:val="0"/>
        <w:widowControl w:val="0"/>
        <w:numPr>
          <w:ilvl w:val="0"/>
          <w:numId w:val="1"/>
        </w:numPr>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探头频率：4.0-16.0MHz</w:t>
      </w:r>
    </w:p>
    <w:p>
      <w:pPr>
        <w:pageBreakBefore w:val="0"/>
        <w:widowControl w:val="0"/>
        <w:numPr>
          <w:ilvl w:val="0"/>
          <w:numId w:val="1"/>
        </w:numPr>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扫描宽度：38mm</w:t>
      </w:r>
    </w:p>
    <w:p>
      <w:pPr>
        <w:pageBreakBefore w:val="0"/>
        <w:widowControl w:val="0"/>
        <w:numPr>
          <w:ilvl w:val="0"/>
          <w:numId w:val="1"/>
        </w:numPr>
        <w:kinsoku/>
        <w:wordWrap/>
        <w:overflowPunct/>
        <w:topLinePunct w:val="0"/>
        <w:bidi w:val="0"/>
        <w:snapToGrid/>
        <w:spacing w:line="44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应用部位：小器官，血管，肌骨，神经等</w:t>
      </w:r>
    </w:p>
    <w:p>
      <w:pPr>
        <w:pageBreakBefore w:val="0"/>
        <w:widowControl w:val="0"/>
        <w:kinsoku/>
        <w:wordWrap/>
        <w:overflowPunct/>
        <w:topLinePunct w:val="0"/>
        <w:bidi w:val="0"/>
        <w:snapToGrid/>
        <w:spacing w:line="440" w:lineRule="atLeast"/>
        <w:textAlignment w:val="auto"/>
        <w:rPr>
          <w:rFonts w:hint="eastAsia" w:ascii="宋体" w:hAnsi="宋体" w:eastAsia="宋体" w:cs="宋体"/>
          <w:color w:val="000000"/>
          <w:sz w:val="24"/>
          <w:szCs w:val="24"/>
        </w:rPr>
      </w:pPr>
    </w:p>
    <w:p>
      <w:pPr>
        <w:pStyle w:val="2"/>
        <w:pageBreakBefore w:val="0"/>
        <w:widowControl w:val="0"/>
        <w:kinsoku/>
        <w:wordWrap/>
        <w:overflowPunct/>
        <w:topLinePunct w:val="0"/>
        <w:bidi w:val="0"/>
        <w:snapToGrid/>
        <w:spacing w:line="440" w:lineRule="atLeast"/>
        <w:jc w:val="center"/>
        <w:textAlignment w:val="auto"/>
        <w:rPr>
          <w:rFonts w:hint="eastAsia" w:ascii="宋体" w:hAnsi="宋体" w:eastAsia="宋体" w:cs="宋体"/>
          <w:b/>
          <w:bCs/>
          <w:sz w:val="24"/>
          <w:szCs w:val="24"/>
        </w:rPr>
      </w:pPr>
      <w:r>
        <w:rPr>
          <w:rFonts w:hint="eastAsia" w:ascii="宋体" w:hAnsi="宋体" w:cs="宋体"/>
          <w:color w:val="000000"/>
          <w:sz w:val="24"/>
          <w:szCs w:val="24"/>
          <w:lang w:eastAsia="zh-CN"/>
        </w:rPr>
        <w:t>六、</w:t>
      </w:r>
      <w:r>
        <w:rPr>
          <w:rFonts w:hint="eastAsia" w:ascii="宋体" w:hAnsi="宋体" w:eastAsia="宋体" w:cs="宋体"/>
          <w:color w:val="000000"/>
          <w:sz w:val="24"/>
          <w:szCs w:val="24"/>
        </w:rPr>
        <w:t>遥测心电监护（一拖六）</w:t>
      </w:r>
      <w:r>
        <w:rPr>
          <w:rFonts w:hint="eastAsia" w:ascii="宋体" w:hAnsi="宋体" w:cs="宋体"/>
          <w:color w:val="000000"/>
          <w:sz w:val="24"/>
          <w:szCs w:val="24"/>
          <w:lang w:eastAsia="zh-CN"/>
        </w:rPr>
        <w:t>技术</w:t>
      </w:r>
      <w:r>
        <w:rPr>
          <w:rFonts w:hint="eastAsia" w:ascii="宋体" w:hAnsi="宋体" w:eastAsia="宋体" w:cs="宋体"/>
          <w:color w:val="000000"/>
          <w:sz w:val="24"/>
          <w:szCs w:val="24"/>
        </w:rPr>
        <w:t>参数</w:t>
      </w:r>
    </w:p>
    <w:p>
      <w:pPr>
        <w:pStyle w:val="2"/>
        <w:pageBreakBefore w:val="0"/>
        <w:widowControl w:val="0"/>
        <w:kinsoku/>
        <w:wordWrap/>
        <w:overflowPunct/>
        <w:topLinePunct w:val="0"/>
        <w:bidi w:val="0"/>
        <w:snapToGrid/>
        <w:spacing w:line="440" w:lineRule="atLeast"/>
        <w:jc w:val="both"/>
        <w:textAlignment w:val="auto"/>
        <w:rPr>
          <w:rFonts w:hint="eastAsia" w:ascii="宋体" w:hAnsi="宋体" w:eastAsia="宋体" w:cs="宋体"/>
          <w:bCs/>
          <w:sz w:val="24"/>
          <w:szCs w:val="24"/>
        </w:rPr>
      </w:pPr>
      <w:r>
        <w:rPr>
          <w:rFonts w:hint="eastAsia" w:ascii="宋体" w:hAnsi="宋体" w:eastAsia="宋体" w:cs="宋体"/>
          <w:b/>
          <w:bCs/>
          <w:sz w:val="24"/>
          <w:szCs w:val="24"/>
        </w:rPr>
        <w:t>产品组成与特性</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遥测系统有遥测发射盒，遥测信号接收箱，天线阵和中心监护系统及相关配附件，通过无线传输技术和网络技术进行连接，实现对于多个流动病人的集中监护。</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遥测盒防水级别IPX3或更高</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遥测盒支持2节AA碱性电池供电，最长可工作96小时</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遥测盒重量小于140克</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无线遥测工作频段：189～196MHZ，420～470MHZ</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采用GFSK窄带传输技术</w:t>
      </w:r>
    </w:p>
    <w:p>
      <w:pPr>
        <w:pStyle w:val="9"/>
        <w:pageBreakBefore w:val="0"/>
        <w:widowControl w:val="0"/>
        <w:kinsoku/>
        <w:wordWrap/>
        <w:overflowPunct/>
        <w:topLinePunct w:val="0"/>
        <w:bidi w:val="0"/>
        <w:snapToGrid/>
        <w:spacing w:line="440" w:lineRule="atLeast"/>
        <w:ind w:left="42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监测参数</w:t>
      </w:r>
    </w:p>
    <w:p>
      <w:pPr>
        <w:pageBreakBefore w:val="0"/>
        <w:widowControl w:val="0"/>
        <w:numPr>
          <w:ilvl w:val="0"/>
          <w:numId w:val="3"/>
        </w:numPr>
        <w:kinsoku/>
        <w:wordWrap/>
        <w:overflowPunct/>
        <w:topLinePunct w:val="0"/>
        <w:autoSpaceDE w:val="0"/>
        <w:autoSpaceDN w:val="0"/>
        <w:bidi w:val="0"/>
        <w:adjustRightInd w:val="0"/>
        <w:snapToGrid/>
        <w:spacing w:line="440" w:lineRule="atLeast"/>
        <w:jc w:val="left"/>
        <w:textAlignment w:val="auto"/>
        <w:rPr>
          <w:rFonts w:hint="eastAsia" w:ascii="宋体" w:hAnsi="宋体" w:eastAsia="宋体" w:cs="宋体"/>
          <w:b/>
          <w:color w:val="000000"/>
          <w:sz w:val="24"/>
          <w:szCs w:val="24"/>
        </w:rPr>
      </w:pPr>
      <w:r>
        <w:rPr>
          <w:rFonts w:hint="eastAsia" w:ascii="宋体" w:hAnsi="宋体" w:eastAsia="宋体" w:cs="宋体"/>
          <w:bCs/>
          <w:sz w:val="24"/>
          <w:szCs w:val="24"/>
        </w:rPr>
        <w:t>系统提供3导和5导心电监测，提供导联类型自动识别功能</w:t>
      </w:r>
    </w:p>
    <w:p>
      <w:pPr>
        <w:pageBreakBefore w:val="0"/>
        <w:widowControl w:val="0"/>
        <w:numPr>
          <w:ilvl w:val="0"/>
          <w:numId w:val="3"/>
        </w:numPr>
        <w:kinsoku/>
        <w:wordWrap/>
        <w:overflowPunct/>
        <w:topLinePunct w:val="0"/>
        <w:autoSpaceDE w:val="0"/>
        <w:autoSpaceDN w:val="0"/>
        <w:bidi w:val="0"/>
        <w:adjustRightInd w:val="0"/>
        <w:snapToGrid/>
        <w:spacing w:line="440" w:lineRule="atLeast"/>
        <w:jc w:val="left"/>
        <w:textAlignment w:val="auto"/>
        <w:rPr>
          <w:rFonts w:hint="eastAsia" w:ascii="宋体" w:hAnsi="宋体" w:eastAsia="宋体" w:cs="宋体"/>
          <w:b/>
          <w:color w:val="000000"/>
          <w:sz w:val="24"/>
          <w:szCs w:val="24"/>
        </w:rPr>
      </w:pPr>
      <w:r>
        <w:rPr>
          <w:rFonts w:hint="eastAsia" w:ascii="宋体" w:hAnsi="宋体" w:eastAsia="宋体" w:cs="宋体"/>
          <w:bCs/>
          <w:sz w:val="24"/>
          <w:szCs w:val="24"/>
        </w:rPr>
        <w:t>提供监护，手术和ST模式三种滤波模式</w:t>
      </w:r>
    </w:p>
    <w:p>
      <w:pPr>
        <w:pageBreakBefore w:val="0"/>
        <w:widowControl w:val="0"/>
        <w:numPr>
          <w:ilvl w:val="0"/>
          <w:numId w:val="3"/>
        </w:numPr>
        <w:kinsoku/>
        <w:wordWrap/>
        <w:overflowPunct/>
        <w:topLinePunct w:val="0"/>
        <w:autoSpaceDE w:val="0"/>
        <w:autoSpaceDN w:val="0"/>
        <w:bidi w:val="0"/>
        <w:adjustRightInd w:val="0"/>
        <w:snapToGrid/>
        <w:spacing w:line="440" w:lineRule="atLeast"/>
        <w:jc w:val="left"/>
        <w:textAlignment w:val="auto"/>
        <w:rPr>
          <w:rFonts w:hint="eastAsia" w:ascii="宋体" w:hAnsi="宋体" w:eastAsia="宋体" w:cs="宋体"/>
          <w:bCs/>
          <w:sz w:val="24"/>
          <w:szCs w:val="24"/>
        </w:rPr>
      </w:pPr>
      <w:r>
        <w:rPr>
          <w:rFonts w:hint="eastAsia" w:ascii="宋体" w:hAnsi="宋体" w:eastAsia="宋体" w:cs="宋体"/>
          <w:bCs/>
          <w:sz w:val="24"/>
          <w:szCs w:val="24"/>
        </w:rPr>
        <w:t>心率测量范围：成人/小儿 15~300bpm</w:t>
      </w:r>
    </w:p>
    <w:p>
      <w:pPr>
        <w:pageBreakBefore w:val="0"/>
        <w:widowControl w:val="0"/>
        <w:numPr>
          <w:ilvl w:val="0"/>
          <w:numId w:val="3"/>
        </w:numPr>
        <w:kinsoku/>
        <w:wordWrap/>
        <w:overflowPunct/>
        <w:topLinePunct w:val="0"/>
        <w:autoSpaceDE w:val="0"/>
        <w:autoSpaceDN w:val="0"/>
        <w:bidi w:val="0"/>
        <w:adjustRightInd w:val="0"/>
        <w:snapToGrid/>
        <w:spacing w:line="440" w:lineRule="atLeast"/>
        <w:jc w:val="left"/>
        <w:textAlignment w:val="auto"/>
        <w:rPr>
          <w:rFonts w:hint="eastAsia" w:ascii="宋体" w:hAnsi="宋体" w:eastAsia="宋体" w:cs="宋体"/>
          <w:bCs/>
          <w:sz w:val="24"/>
          <w:szCs w:val="24"/>
        </w:rPr>
      </w:pPr>
      <w:r>
        <w:rPr>
          <w:rFonts w:hint="eastAsia" w:ascii="宋体" w:hAnsi="宋体" w:eastAsia="宋体" w:cs="宋体"/>
          <w:bCs/>
          <w:sz w:val="24"/>
          <w:szCs w:val="24"/>
        </w:rPr>
        <w:t>心电波形增益档位分为×0.125, ×0.25, ×0.5, ×1, ×2, ×4</w:t>
      </w:r>
    </w:p>
    <w:p>
      <w:pPr>
        <w:pageBreakBefore w:val="0"/>
        <w:widowControl w:val="0"/>
        <w:numPr>
          <w:ilvl w:val="0"/>
          <w:numId w:val="3"/>
        </w:numPr>
        <w:kinsoku/>
        <w:wordWrap/>
        <w:overflowPunct/>
        <w:topLinePunct w:val="0"/>
        <w:autoSpaceDE w:val="0"/>
        <w:autoSpaceDN w:val="0"/>
        <w:bidi w:val="0"/>
        <w:adjustRightInd w:val="0"/>
        <w:snapToGrid/>
        <w:spacing w:line="440" w:lineRule="atLeast"/>
        <w:jc w:val="left"/>
        <w:textAlignment w:val="auto"/>
        <w:rPr>
          <w:rFonts w:hint="eastAsia" w:ascii="宋体" w:hAnsi="宋体" w:eastAsia="宋体" w:cs="宋体"/>
          <w:bCs/>
          <w:sz w:val="24"/>
          <w:szCs w:val="24"/>
        </w:rPr>
      </w:pPr>
      <w:r>
        <w:rPr>
          <w:rFonts w:hint="eastAsia" w:ascii="宋体" w:hAnsi="宋体" w:eastAsia="宋体" w:cs="宋体"/>
          <w:bCs/>
          <w:sz w:val="24"/>
          <w:szCs w:val="24"/>
        </w:rPr>
        <w:t>心电波形扫描速度支持12.5 mm/s、25 mm/s、50 mm/s</w:t>
      </w:r>
    </w:p>
    <w:p>
      <w:pPr>
        <w:pageBreakBefore w:val="0"/>
        <w:widowControl w:val="0"/>
        <w:numPr>
          <w:ilvl w:val="0"/>
          <w:numId w:val="3"/>
        </w:numPr>
        <w:kinsoku/>
        <w:wordWrap/>
        <w:overflowPunct/>
        <w:topLinePunct w:val="0"/>
        <w:autoSpaceDE w:val="0"/>
        <w:autoSpaceDN w:val="0"/>
        <w:bidi w:val="0"/>
        <w:adjustRightInd w:val="0"/>
        <w:snapToGrid/>
        <w:spacing w:line="440" w:lineRule="atLeast"/>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系统支持不少于20种心律失常分析功能，对病人过去24小时心律失常事件进行统计并输出报告</w:t>
      </w:r>
    </w:p>
    <w:p>
      <w:pPr>
        <w:pageBreakBefore w:val="0"/>
        <w:widowControl w:val="0"/>
        <w:numPr>
          <w:ilvl w:val="0"/>
          <w:numId w:val="3"/>
        </w:numPr>
        <w:kinsoku/>
        <w:wordWrap/>
        <w:overflowPunct/>
        <w:topLinePunct w:val="0"/>
        <w:autoSpaceDE w:val="0"/>
        <w:autoSpaceDN w:val="0"/>
        <w:bidi w:val="0"/>
        <w:adjustRightInd w:val="0"/>
        <w:snapToGrid/>
        <w:spacing w:line="440" w:lineRule="atLeast"/>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系统支持ST分析功能</w:t>
      </w:r>
    </w:p>
    <w:p>
      <w:pPr>
        <w:pageBreakBefore w:val="0"/>
        <w:widowControl w:val="0"/>
        <w:numPr>
          <w:ilvl w:val="0"/>
          <w:numId w:val="3"/>
        </w:numPr>
        <w:kinsoku/>
        <w:wordWrap/>
        <w:overflowPunct/>
        <w:topLinePunct w:val="0"/>
        <w:autoSpaceDE w:val="0"/>
        <w:autoSpaceDN w:val="0"/>
        <w:bidi w:val="0"/>
        <w:adjustRightInd w:val="0"/>
        <w:snapToGrid/>
        <w:spacing w:line="440" w:lineRule="atLeast"/>
        <w:jc w:val="left"/>
        <w:textAlignment w:val="auto"/>
        <w:rPr>
          <w:rFonts w:hint="eastAsia" w:ascii="宋体" w:hAnsi="宋体" w:eastAsia="宋体" w:cs="宋体"/>
          <w:bCs/>
          <w:sz w:val="24"/>
          <w:szCs w:val="24"/>
        </w:rPr>
      </w:pPr>
      <w:r>
        <w:rPr>
          <w:rFonts w:hint="eastAsia" w:ascii="宋体" w:hAnsi="宋体" w:eastAsia="宋体" w:cs="宋体"/>
          <w:bCs/>
          <w:sz w:val="24"/>
          <w:szCs w:val="24"/>
        </w:rPr>
        <w:t>提供ST实时片段和参考片段对比显示及记录功能，支持临床中病人心肌缺血病症的诊断</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支持病人血氧饱和度监测功能</w:t>
      </w:r>
    </w:p>
    <w:p>
      <w:pPr>
        <w:pStyle w:val="9"/>
        <w:pageBreakBefore w:val="0"/>
        <w:widowControl w:val="0"/>
        <w:kinsoku/>
        <w:wordWrap/>
        <w:overflowPunct/>
        <w:topLinePunct w:val="0"/>
        <w:bidi w:val="0"/>
        <w:snapToGrid/>
        <w:spacing w:line="440" w:lineRule="atLeast"/>
        <w:ind w:left="42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系统功能</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系统提供护士呼叫和事件标记功能</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对每套遥测监护系统支持1～32 床任意频点配置</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单屏可同时显示</w:t>
      </w:r>
      <w:r>
        <w:rPr>
          <w:rFonts w:hint="eastAsia" w:ascii="宋体" w:hAnsi="宋体" w:eastAsia="宋体" w:cs="宋体"/>
          <w:bCs/>
          <w:sz w:val="24"/>
          <w:szCs w:val="24"/>
          <w:lang w:eastAsia="zh-CN"/>
        </w:rPr>
        <w:t>不少于</w:t>
      </w:r>
      <w:r>
        <w:rPr>
          <w:rFonts w:hint="eastAsia" w:ascii="宋体" w:hAnsi="宋体" w:eastAsia="宋体" w:cs="宋体"/>
          <w:bCs/>
          <w:sz w:val="24"/>
          <w:szCs w:val="24"/>
        </w:rPr>
        <w:t>16 床监护信息，双屏可同时显示</w:t>
      </w:r>
      <w:r>
        <w:rPr>
          <w:rFonts w:hint="eastAsia" w:ascii="宋体" w:hAnsi="宋体" w:eastAsia="宋体" w:cs="宋体"/>
          <w:bCs/>
          <w:sz w:val="24"/>
          <w:szCs w:val="24"/>
          <w:lang w:eastAsia="zh-CN"/>
        </w:rPr>
        <w:t>不少于</w:t>
      </w:r>
      <w:r>
        <w:rPr>
          <w:rFonts w:hint="eastAsia" w:ascii="宋体" w:hAnsi="宋体" w:eastAsia="宋体" w:cs="宋体"/>
          <w:bCs/>
          <w:sz w:val="24"/>
          <w:szCs w:val="24"/>
        </w:rPr>
        <w:t>32床监护信息</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支持单床重点观察，查看病人的参数，波形和报警全部实时信息</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支持每个在线监护病人最近</w:t>
      </w:r>
      <w:r>
        <w:rPr>
          <w:rFonts w:hint="eastAsia" w:ascii="宋体" w:hAnsi="宋体" w:eastAsia="宋体" w:cs="宋体"/>
          <w:bCs/>
          <w:sz w:val="24"/>
          <w:szCs w:val="24"/>
          <w:lang w:eastAsia="zh-CN"/>
        </w:rPr>
        <w:t>不</w:t>
      </w:r>
      <w:r>
        <w:rPr>
          <w:rFonts w:hint="eastAsia" w:ascii="宋体" w:hAnsi="宋体" w:eastAsia="宋体" w:cs="宋体"/>
          <w:bCs/>
          <w:sz w:val="24"/>
          <w:szCs w:val="24"/>
        </w:rPr>
        <w:t>少于240小时的趋势数据存储，回顾，记录和打印</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病人趋势数据支持趋势图和趋势表回顾，提供趋势组和用户自定义趋势组来满足不同临床病人趋势数据回顾的需求</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支持每个在线监护病人最近</w:t>
      </w:r>
      <w:r>
        <w:rPr>
          <w:rFonts w:hint="eastAsia" w:ascii="宋体" w:hAnsi="宋体" w:eastAsia="宋体" w:cs="宋体"/>
          <w:bCs/>
          <w:sz w:val="24"/>
          <w:szCs w:val="24"/>
          <w:lang w:eastAsia="zh-CN"/>
        </w:rPr>
        <w:t>不</w:t>
      </w:r>
      <w:r>
        <w:rPr>
          <w:rFonts w:hint="eastAsia" w:ascii="宋体" w:hAnsi="宋体" w:eastAsia="宋体" w:cs="宋体"/>
          <w:bCs/>
          <w:sz w:val="24"/>
          <w:szCs w:val="24"/>
        </w:rPr>
        <w:t>少于720条事件数据存储，回顾，记录和打印</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支持每个在线监护病人最近</w:t>
      </w:r>
      <w:r>
        <w:rPr>
          <w:rFonts w:hint="eastAsia" w:ascii="宋体" w:hAnsi="宋体" w:eastAsia="宋体" w:cs="宋体"/>
          <w:bCs/>
          <w:sz w:val="24"/>
          <w:szCs w:val="24"/>
          <w:lang w:eastAsia="zh-CN"/>
        </w:rPr>
        <w:t>不</w:t>
      </w:r>
      <w:r>
        <w:rPr>
          <w:rFonts w:hint="eastAsia" w:ascii="宋体" w:hAnsi="宋体" w:eastAsia="宋体" w:cs="宋体"/>
          <w:bCs/>
          <w:sz w:val="24"/>
          <w:szCs w:val="24"/>
        </w:rPr>
        <w:t>少于240 小时的ST 片段数据存储，回顾，记录和打印</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支持每个在线监护病人最近</w:t>
      </w:r>
      <w:r>
        <w:rPr>
          <w:rFonts w:hint="eastAsia" w:ascii="宋体" w:hAnsi="宋体" w:eastAsia="宋体" w:cs="宋体"/>
          <w:bCs/>
          <w:sz w:val="24"/>
          <w:szCs w:val="24"/>
          <w:lang w:eastAsia="zh-CN"/>
        </w:rPr>
        <w:t>不</w:t>
      </w:r>
      <w:r>
        <w:rPr>
          <w:rFonts w:hint="eastAsia" w:ascii="宋体" w:hAnsi="宋体" w:eastAsia="宋体" w:cs="宋体"/>
          <w:bCs/>
          <w:sz w:val="24"/>
          <w:szCs w:val="24"/>
        </w:rPr>
        <w:t>少于240 小时的波形数据存储，回顾，记录和打印</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病人波形数据支持常规波形和压缩波形回顾，提供高压缩比的显示窗口，屏幕支持高达320分钟单波形的查看</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病人心电波形支持卡规测量，支持对于病人PR，QRS，RR，QT和QTC值进行测量，并支持报告打印</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支持心律失常事件统计功能，支持对于统计结果输出打印报告</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提供病人报告定时打印功能，支持护理团队交接班时病人报告的自动打印，提供科室的工作效率</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提供药物剂量计算、滴定表计算、血液动力学计算、氧合计算、通气计算和肾功能计算功能</w:t>
      </w:r>
    </w:p>
    <w:p>
      <w:pPr>
        <w:pStyle w:val="9"/>
        <w:pageBreakBefore w:val="0"/>
        <w:widowControl w:val="0"/>
        <w:numPr>
          <w:ilvl w:val="0"/>
          <w:numId w:val="2"/>
        </w:numPr>
        <w:kinsoku/>
        <w:wordWrap/>
        <w:overflowPunct/>
        <w:topLinePunct w:val="0"/>
        <w:bidi w:val="0"/>
        <w:snapToGrid/>
        <w:spacing w:line="440" w:lineRule="atLeast"/>
        <w:ind w:firstLineChars="0"/>
        <w:textAlignment w:val="auto"/>
        <w:rPr>
          <w:rFonts w:hint="eastAsia" w:ascii="宋体" w:hAnsi="宋体" w:eastAsia="宋体" w:cs="宋体"/>
          <w:bCs/>
          <w:sz w:val="24"/>
          <w:szCs w:val="24"/>
        </w:rPr>
      </w:pPr>
      <w:r>
        <w:rPr>
          <w:rFonts w:hint="eastAsia" w:ascii="宋体" w:hAnsi="宋体" w:eastAsia="宋体" w:cs="宋体"/>
          <w:bCs/>
          <w:sz w:val="24"/>
          <w:szCs w:val="24"/>
        </w:rPr>
        <w:t>支持系统操作日志和报警日志的记录及日志导出功能，支持发生临床事件或者系统异常时对于事件的跟踪</w:t>
      </w:r>
    </w:p>
    <w:p>
      <w:pPr>
        <w:pStyle w:val="9"/>
        <w:pageBreakBefore w:val="0"/>
        <w:widowControl w:val="0"/>
        <w:kinsoku/>
        <w:wordWrap/>
        <w:overflowPunct/>
        <w:topLinePunct w:val="0"/>
        <w:bidi w:val="0"/>
        <w:snapToGrid/>
        <w:spacing w:line="440" w:lineRule="atLeast"/>
        <w:ind w:left="420" w:firstLine="0" w:firstLineChars="0"/>
        <w:textAlignment w:val="auto"/>
        <w:rPr>
          <w:rFonts w:hint="eastAsia" w:ascii="宋体" w:hAnsi="宋体" w:eastAsia="宋体" w:cs="宋体"/>
          <w:bCs/>
          <w:sz w:val="24"/>
          <w:szCs w:val="24"/>
        </w:rPr>
      </w:pPr>
    </w:p>
    <w:p>
      <w:pPr>
        <w:pageBreakBefore w:val="0"/>
        <w:widowControl w:val="0"/>
        <w:kinsoku/>
        <w:wordWrap/>
        <w:overflowPunct/>
        <w:topLinePunct w:val="0"/>
        <w:bidi w:val="0"/>
        <w:snapToGrid/>
        <w:spacing w:line="440" w:lineRule="atLeast"/>
        <w:ind w:left="-199" w:leftChars="-95"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ind w:left="-199" w:leftChars="-95"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before="156" w:beforeLines="50" w:after="312" w:afterLines="100" w:line="440" w:lineRule="atLeast"/>
        <w:jc w:val="center"/>
        <w:textAlignment w:val="auto"/>
        <w:outlineLvl w:val="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硬性电子输尿管</w:t>
      </w:r>
      <w:r>
        <w:rPr>
          <w:rFonts w:hint="eastAsia" w:ascii="宋体" w:hAnsi="宋体" w:eastAsia="宋体" w:cs="宋体"/>
          <w:b/>
          <w:bCs/>
          <w:sz w:val="24"/>
          <w:szCs w:val="24"/>
          <w:lang w:val="en-US" w:eastAsia="zh-CN"/>
        </w:rPr>
        <w:t>肾</w:t>
      </w:r>
      <w:r>
        <w:rPr>
          <w:rFonts w:hint="eastAsia" w:ascii="宋体" w:hAnsi="宋体" w:eastAsia="宋体" w:cs="宋体"/>
          <w:b/>
          <w:bCs/>
          <w:sz w:val="24"/>
          <w:szCs w:val="24"/>
          <w:lang w:val="en-US" w:eastAsia="zh-CN"/>
        </w:rPr>
        <w:t>镜</w:t>
      </w:r>
      <w:r>
        <w:rPr>
          <w:rFonts w:hint="eastAsia" w:ascii="宋体" w:hAnsi="宋体" w:cs="宋体"/>
          <w:b/>
          <w:bCs/>
          <w:sz w:val="24"/>
          <w:szCs w:val="24"/>
          <w:lang w:val="en-US" w:eastAsia="zh-CN"/>
        </w:rPr>
        <w:t>技术</w:t>
      </w:r>
      <w:r>
        <w:rPr>
          <w:rFonts w:hint="eastAsia" w:ascii="宋体" w:hAnsi="宋体" w:eastAsia="宋体" w:cs="宋体"/>
          <w:b/>
          <w:bCs/>
          <w:sz w:val="24"/>
          <w:szCs w:val="24"/>
          <w:lang w:val="en-US" w:eastAsia="zh-CN"/>
        </w:rPr>
        <w:t>参数</w:t>
      </w:r>
    </w:p>
    <w:p>
      <w:pPr>
        <w:pageBreakBefore w:val="0"/>
        <w:widowControl w:val="0"/>
        <w:kinsoku/>
        <w:wordWrap/>
        <w:overflowPunct/>
        <w:topLinePunct w:val="0"/>
        <w:bidi w:val="0"/>
        <w:snapToGrid/>
        <w:spacing w:before="156" w:beforeLines="50" w:after="312" w:afterLines="100" w:line="440" w:lineRule="atLeast"/>
        <w:jc w:val="both"/>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外</w:t>
      </w:r>
      <w:r>
        <w:rPr>
          <w:rFonts w:hint="eastAsia" w:ascii="宋体" w:hAnsi="宋体" w:eastAsia="宋体" w:cs="宋体"/>
          <w:color w:val="auto"/>
          <w:sz w:val="24"/>
          <w:szCs w:val="24"/>
          <w:lang w:val="en-US" w:eastAsia="zh-CN"/>
        </w:rPr>
        <w:t>径：</w:t>
      </w:r>
      <w:r>
        <w:rPr>
          <w:rFonts w:hint="eastAsia" w:ascii="宋体" w:hAnsi="宋体" w:eastAsia="宋体" w:cs="宋体"/>
          <w:color w:val="auto"/>
          <w:sz w:val="24"/>
          <w:szCs w:val="24"/>
          <w:lang w:val="en-US" w:eastAsia="zh-CN"/>
        </w:rPr>
        <w:t>大约</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9Fr</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器械通道：φ1.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en-US" w:eastAsia="zh-CN"/>
        </w:rPr>
        <w:t>mm</w:t>
      </w:r>
      <w:bookmarkStart w:id="0" w:name="_GoBack"/>
      <w:bookmarkEnd w:id="0"/>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工作长度：4</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en-US" w:eastAsia="zh-CN"/>
        </w:rPr>
        <w:t>mm</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视向角：</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视场角：</w:t>
      </w:r>
      <w:r>
        <w:rPr>
          <w:rFonts w:hint="eastAsia" w:ascii="宋体" w:hAnsi="宋体" w:eastAsia="宋体" w:cs="宋体"/>
          <w:color w:val="auto"/>
          <w:sz w:val="24"/>
          <w:szCs w:val="24"/>
          <w:lang w:val="en-US" w:eastAsia="zh-CN"/>
        </w:rPr>
        <w:t>110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输出像素：1920x1080</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输出接口：SDI、DVI、HDMI</w:t>
      </w:r>
    </w:p>
    <w:p>
      <w:pPr>
        <w:pageBreakBefore w:val="0"/>
        <w:widowControl w:val="0"/>
        <w:kinsoku/>
        <w:wordWrap/>
        <w:overflowPunct/>
        <w:topLinePunct w:val="0"/>
        <w:bidi w:val="0"/>
        <w:snapToGrid/>
        <w:spacing w:line="440" w:lineRule="atLeast"/>
        <w:ind w:left="-199" w:leftChars="-95"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ind w:left="-199" w:leftChars="-95"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ind w:left="-199" w:leftChars="-95"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ind w:left="-199" w:leftChars="-95" w:firstLine="0" w:firstLineChars="0"/>
        <w:textAlignment w:val="auto"/>
        <w:rPr>
          <w:rFonts w:hint="eastAsia" w:ascii="宋体" w:hAnsi="宋体" w:eastAsia="宋体" w:cs="宋体"/>
          <w:sz w:val="24"/>
          <w:szCs w:val="24"/>
          <w:lang w:val="en-US" w:eastAsia="zh-CN"/>
        </w:rPr>
      </w:pPr>
    </w:p>
    <w:p>
      <w:pPr>
        <w:pageBreakBefore w:val="0"/>
        <w:widowControl w:val="0"/>
        <w:kinsoku/>
        <w:wordWrap/>
        <w:overflowPunct/>
        <w:topLinePunct w:val="0"/>
        <w:bidi w:val="0"/>
        <w:snapToGrid/>
        <w:spacing w:line="440" w:lineRule="atLeast"/>
        <w:ind w:left="-199" w:leftChars="-95" w:firstLine="0" w:firstLineChars="0"/>
        <w:textAlignment w:val="auto"/>
        <w:rPr>
          <w:rFonts w:hint="eastAsia" w:ascii="宋体" w:hAnsi="宋体" w:eastAsia="宋体" w:cs="宋体"/>
          <w:sz w:val="24"/>
          <w:szCs w:val="24"/>
          <w:lang w:val="en-US" w:eastAsia="zh-CN"/>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40AC0"/>
    <w:multiLevelType w:val="singleLevel"/>
    <w:tmpl w:val="91140AC0"/>
    <w:lvl w:ilvl="0" w:tentative="0">
      <w:start w:val="1"/>
      <w:numFmt w:val="decimal"/>
      <w:lvlText w:val="%1."/>
      <w:lvlJc w:val="left"/>
      <w:pPr>
        <w:tabs>
          <w:tab w:val="left" w:pos="312"/>
        </w:tabs>
      </w:pPr>
    </w:lvl>
  </w:abstractNum>
  <w:abstractNum w:abstractNumId="1">
    <w:nsid w:val="00000000"/>
    <w:multiLevelType w:val="multilevel"/>
    <w:tmpl w:val="000000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1"/>
    <w:multiLevelType w:val="multilevel"/>
    <w:tmpl w:val="0000000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 w:numId="3">
    <w:abstractNumId w:va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jUwMDM5MDYwOTNmOTk2MWZkOTNhYzAyNDc4OTMifQ=="/>
  </w:docVars>
  <w:rsids>
    <w:rsidRoot w:val="577711D4"/>
    <w:rsid w:val="015F5B61"/>
    <w:rsid w:val="06AD32D2"/>
    <w:rsid w:val="28884136"/>
    <w:rsid w:val="3EB432EA"/>
    <w:rsid w:val="5062118D"/>
    <w:rsid w:val="56254B21"/>
    <w:rsid w:val="577711D4"/>
    <w:rsid w:val="5D1765D3"/>
    <w:rsid w:val="79D4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qFormat/>
    <w:uiPriority w:val="0"/>
    <w:rPr>
      <w:rFonts w:ascii="宋体" w:hAnsi="Courier New"/>
      <w:szCs w:val="20"/>
    </w:rPr>
  </w:style>
  <w:style w:type="character" w:styleId="7">
    <w:name w:val="annotation reference"/>
    <w:basedOn w:val="6"/>
    <w:semiHidden/>
    <w:unhideWhenUsed/>
    <w:qFormat/>
    <w:uiPriority w:val="99"/>
    <w:rPr>
      <w:sz w:val="21"/>
      <w:szCs w:val="21"/>
    </w:rPr>
  </w:style>
  <w:style w:type="paragraph" w:customStyle="1" w:styleId="8">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2809</Words>
  <Characters>3293</Characters>
  <Lines>0</Lines>
  <Paragraphs>0</Paragraphs>
  <TotalTime>7</TotalTime>
  <ScaleCrop>false</ScaleCrop>
  <LinksUpToDate>false</LinksUpToDate>
  <CharactersWithSpaces>3531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2022-11-19T06:17:00Z</dcterms:created>
  <dc:creator>拓达</dc:creator>
  <cp:lastModifiedBy>铁甲依然在K</cp:lastModifiedBy>
  <dcterms:modified xsi:type="dcterms:W3CDTF">2022-12-10T03:35:33Z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A0FC15965DB642F28541F1F26AB58ABF</vt:lpwstr>
  </property>
</Properties>
</file>