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采购需求</w:t>
      </w:r>
    </w:p>
    <w:tbl>
      <w:tblPr>
        <w:tblStyle w:val="12"/>
        <w:tblW w:w="14738" w:type="dxa"/>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650"/>
        <w:gridCol w:w="2755"/>
        <w:gridCol w:w="1023"/>
        <w:gridCol w:w="777"/>
        <w:gridCol w:w="873"/>
        <w:gridCol w:w="6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13" w:type="dxa"/>
            <w:vAlign w:val="center"/>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序号</w:t>
            </w:r>
          </w:p>
        </w:tc>
        <w:tc>
          <w:tcPr>
            <w:tcW w:w="1650"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产品名称</w:t>
            </w:r>
          </w:p>
        </w:tc>
        <w:tc>
          <w:tcPr>
            <w:tcW w:w="275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规格（毫米）</w:t>
            </w:r>
          </w:p>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长W*宽D*高H</w:t>
            </w:r>
          </w:p>
        </w:tc>
        <w:tc>
          <w:tcPr>
            <w:tcW w:w="1023"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颜色</w:t>
            </w:r>
          </w:p>
        </w:tc>
        <w:tc>
          <w:tcPr>
            <w:tcW w:w="77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单位</w:t>
            </w:r>
          </w:p>
        </w:tc>
        <w:tc>
          <w:tcPr>
            <w:tcW w:w="873"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数量</w:t>
            </w:r>
          </w:p>
        </w:tc>
        <w:tc>
          <w:tcPr>
            <w:tcW w:w="674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技术指标及材质说明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3"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w:t>
            </w:r>
          </w:p>
        </w:tc>
        <w:tc>
          <w:tcPr>
            <w:tcW w:w="165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主席台</w:t>
            </w:r>
          </w:p>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(木制桌)</w:t>
            </w:r>
          </w:p>
        </w:tc>
        <w:tc>
          <w:tcPr>
            <w:tcW w:w="2755"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1500*600*760</w:t>
            </w:r>
          </w:p>
        </w:tc>
        <w:tc>
          <w:tcPr>
            <w:tcW w:w="102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胡桃色</w:t>
            </w:r>
          </w:p>
        </w:tc>
        <w:tc>
          <w:tcPr>
            <w:tcW w:w="77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c>
          <w:tcPr>
            <w:tcW w:w="8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6747" w:type="dxa"/>
            <w:vAlign w:val="center"/>
          </w:tcPr>
          <w:p>
            <w:pPr>
              <w:bidi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一、材质要求：</w:t>
            </w:r>
          </w:p>
          <w:p>
            <w:pPr>
              <w:bidi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1、基材：采用中密度纤维板，符合国际E1级标准≥0.6mm胡桃木贴皮，含水率低于9%。经防潮、防虫、防腐处理，抗弯力强，不易变形。</w:t>
            </w:r>
          </w:p>
          <w:p>
            <w:pPr>
              <w:bidi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2、面板、层板、侧立板厚度≥25mm；背板厚度≥15mm。</w:t>
            </w:r>
          </w:p>
          <w:p>
            <w:pPr>
              <w:bidi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3、PU底漆要求：符合国家相关标准。</w:t>
            </w:r>
          </w:p>
          <w:p>
            <w:pPr>
              <w:bidi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5、配件：采用国内五金配件。</w:t>
            </w:r>
          </w:p>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二、木制桌部件材质要求：应符合GB/T15104-2006装饰单板贴面人造板和GB18580-2017室内装饰装修材料人造板及其制品中甲醛释放限量两项标准。</w:t>
            </w:r>
          </w:p>
          <w:p>
            <w:pPr>
              <w:keepNext w:val="0"/>
              <w:keepLines w:val="0"/>
              <w:widowControl/>
              <w:suppressLineNumbers w:val="0"/>
              <w:jc w:val="left"/>
              <w:textAlignment w:val="cente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说明：提供实物样品1张，尺寸要求：W</w:t>
            </w:r>
            <w:r>
              <w:rPr>
                <w:rFonts w:hint="eastAsia" w:ascii="宋体" w:hAnsi="宋体" w:eastAsia="宋体" w:cs="宋体"/>
                <w:b/>
                <w:bCs/>
                <w:sz w:val="21"/>
                <w:szCs w:val="21"/>
                <w:vertAlign w:val="baseline"/>
                <w:lang w:val="en-US" w:eastAsia="zh-CN"/>
              </w:rPr>
              <w:t xml:space="preserve">1500*D600*H760mm </w:t>
            </w:r>
            <w:r>
              <w:rPr>
                <w:rFonts w:hint="eastAsia" w:ascii="宋体" w:hAnsi="宋体" w:eastAsia="宋体" w:cs="宋体"/>
                <w:b/>
                <w:bCs/>
                <w:color w:val="000000"/>
                <w:kern w:val="0"/>
                <w:sz w:val="21"/>
                <w:szCs w:val="21"/>
                <w:lang w:val="en-US" w:eastAsia="zh-CN"/>
              </w:rPr>
              <w:t>款式要求如下：</w:t>
            </w:r>
          </w:p>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sz w:val="21"/>
                <w:szCs w:val="21"/>
              </w:rPr>
              <w:drawing>
                <wp:inline distT="0" distB="0" distL="114300" distR="114300">
                  <wp:extent cx="1290955" cy="1111250"/>
                  <wp:effectExtent l="0" t="0" r="4445" b="1270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5"/>
                          <a:stretch>
                            <a:fillRect/>
                          </a:stretch>
                        </pic:blipFill>
                        <pic:spPr>
                          <a:xfrm>
                            <a:off x="0" y="0"/>
                            <a:ext cx="1290955" cy="11112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913"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w:t>
            </w:r>
          </w:p>
        </w:tc>
        <w:tc>
          <w:tcPr>
            <w:tcW w:w="165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主席台</w:t>
            </w:r>
          </w:p>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(木制桌)</w:t>
            </w:r>
          </w:p>
        </w:tc>
        <w:tc>
          <w:tcPr>
            <w:tcW w:w="2755"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2100*600*760</w:t>
            </w:r>
          </w:p>
        </w:tc>
        <w:tc>
          <w:tcPr>
            <w:tcW w:w="102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胡桃色</w:t>
            </w:r>
          </w:p>
        </w:tc>
        <w:tc>
          <w:tcPr>
            <w:tcW w:w="77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c>
          <w:tcPr>
            <w:tcW w:w="8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6747" w:type="dxa"/>
            <w:vAlign w:val="center"/>
          </w:tcPr>
          <w:p>
            <w:pPr>
              <w:bidi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一、材质要求：</w:t>
            </w:r>
          </w:p>
          <w:p>
            <w:pPr>
              <w:bidi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1、基材：采用中密度纤维板，符合国际E1级标准≥0.6mm胡桃木贴皮，含水率低于9%。经防潮、防虫、防腐处理，抗弯力强，不易变形。</w:t>
            </w:r>
          </w:p>
          <w:p>
            <w:pPr>
              <w:bidi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2、面板、层板、侧立板厚度≥25mm；背板厚度≥15mm。</w:t>
            </w:r>
          </w:p>
          <w:p>
            <w:pPr>
              <w:bidi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3、PU底漆要求：符合国家相关标准。</w:t>
            </w:r>
          </w:p>
          <w:p>
            <w:pPr>
              <w:bidi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5、配件：采用国内五金配件。</w:t>
            </w:r>
          </w:p>
          <w:p>
            <w:pPr>
              <w:widowControl/>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auto"/>
                <w:sz w:val="21"/>
                <w:szCs w:val="21"/>
                <w:highlight w:val="none"/>
              </w:rPr>
              <w:t>二、木制桌部件材质要求：应符合GB/T15104-2006装饰单板贴面人造板和GB18580-2017室内装饰装修材料人造板及其制品中甲醛释放限量两项标准。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913"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3</w:t>
            </w:r>
          </w:p>
        </w:tc>
        <w:tc>
          <w:tcPr>
            <w:tcW w:w="165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演讲台</w:t>
            </w:r>
          </w:p>
        </w:tc>
        <w:tc>
          <w:tcPr>
            <w:tcW w:w="2755"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常规</w:t>
            </w:r>
          </w:p>
        </w:tc>
        <w:tc>
          <w:tcPr>
            <w:tcW w:w="102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胡桃色</w:t>
            </w:r>
          </w:p>
        </w:tc>
        <w:tc>
          <w:tcPr>
            <w:tcW w:w="77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7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747"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rPr>
              <w:t>质胡桃木皮贴面，实木封边，基材：采用优质E1级环保型纤维板，经过防虫、防腐等化学处理，涂装：采用PU聚酯环保漆，配件：采用优质五金配件，各项技术指标均达IS09001国际标准，通过IS0414001认证。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3"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4</w:t>
            </w:r>
          </w:p>
        </w:tc>
        <w:tc>
          <w:tcPr>
            <w:tcW w:w="1650" w:type="dxa"/>
            <w:vAlign w:val="center"/>
          </w:tcPr>
          <w:p>
            <w:pPr>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会议椅</w:t>
            </w:r>
          </w:p>
        </w:tc>
        <w:tc>
          <w:tcPr>
            <w:tcW w:w="2755"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总长：580mm,扶手间内空长510mm，座深500mm，总高1000mm，靠背高630mm，地至扶手高660mm。</w:t>
            </w:r>
          </w:p>
        </w:tc>
        <w:tc>
          <w:tcPr>
            <w:tcW w:w="1023"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黑色</w:t>
            </w:r>
          </w:p>
        </w:tc>
        <w:tc>
          <w:tcPr>
            <w:tcW w:w="777"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张</w:t>
            </w:r>
          </w:p>
        </w:tc>
        <w:tc>
          <w:tcPr>
            <w:tcW w:w="873"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52</w:t>
            </w:r>
          </w:p>
        </w:tc>
        <w:tc>
          <w:tcPr>
            <w:tcW w:w="6747" w:type="dxa"/>
            <w:vAlign w:val="center"/>
          </w:tcPr>
          <w:p>
            <w:pPr>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面料：</w:t>
            </w:r>
            <w:r>
              <w:rPr>
                <w:rFonts w:hint="eastAsia" w:ascii="宋体" w:hAnsi="宋体" w:eastAsia="宋体" w:cs="宋体"/>
                <w:sz w:val="21"/>
                <w:szCs w:val="21"/>
                <w:vertAlign w:val="baseline"/>
                <w:lang w:val="en-US" w:eastAsia="zh-CN"/>
              </w:rPr>
              <w:t>采</w:t>
            </w:r>
            <w:r>
              <w:rPr>
                <w:rFonts w:hint="eastAsia" w:ascii="宋体" w:hAnsi="宋体" w:eastAsia="宋体" w:cs="宋体"/>
                <w:sz w:val="21"/>
                <w:szCs w:val="21"/>
                <w:vertAlign w:val="baseline"/>
              </w:rPr>
              <w:t>用优质西皮饰面，</w:t>
            </w:r>
            <w:r>
              <w:rPr>
                <w:rFonts w:hint="eastAsia" w:ascii="宋体" w:hAnsi="宋体" w:eastAsia="宋体" w:cs="宋体"/>
                <w:sz w:val="21"/>
                <w:szCs w:val="21"/>
                <w:vertAlign w:val="baseline"/>
                <w:lang w:val="en-US" w:eastAsia="zh-CN"/>
              </w:rPr>
              <w:t>双层板，</w:t>
            </w:r>
            <w:r>
              <w:rPr>
                <w:rFonts w:hint="eastAsia" w:ascii="宋体" w:hAnsi="宋体" w:eastAsia="宋体" w:cs="宋体"/>
                <w:sz w:val="21"/>
                <w:szCs w:val="21"/>
                <w:vertAlign w:val="baseline"/>
              </w:rPr>
              <w:t>皮质柔软，手感舒适，不易退色，无异味；</w:t>
            </w:r>
          </w:p>
          <w:p>
            <w:pPr>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海绵：选用原生海绵，回弹性好，不易变形；</w:t>
            </w:r>
          </w:p>
          <w:p>
            <w:pPr>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椅架：采用1.5mm厚电镀弓形架，经防腐、防锈电镀处理</w:t>
            </w:r>
            <w:r>
              <w:rPr>
                <w:rFonts w:hint="eastAsia" w:ascii="宋体" w:hAnsi="宋体" w:eastAsia="宋体" w:cs="宋体"/>
                <w:sz w:val="21"/>
                <w:szCs w:val="21"/>
                <w:vertAlign w:val="baseline"/>
                <w:lang w:eastAsia="zh-CN"/>
              </w:rPr>
              <w:t>。</w:t>
            </w:r>
          </w:p>
          <w:p>
            <w:pPr>
              <w:keepNext w:val="0"/>
              <w:keepLines w:val="0"/>
              <w:widowControl/>
              <w:suppressLineNumbers w:val="0"/>
              <w:jc w:val="left"/>
              <w:textAlignment w:val="cente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说明：提供实物样品1张，尺寸：</w:t>
            </w:r>
            <w:r>
              <w:rPr>
                <w:rFonts w:hint="eastAsia" w:ascii="宋体" w:hAnsi="宋体" w:eastAsia="宋体" w:cs="宋体"/>
                <w:b/>
                <w:bCs/>
                <w:sz w:val="21"/>
                <w:szCs w:val="21"/>
                <w:vertAlign w:val="baseline"/>
                <w:lang w:val="en-US" w:eastAsia="zh-CN"/>
              </w:rPr>
              <w:t>总长：580mm,扶手间内空长510mm，座深500mm，总高1000mm，靠背高630mm，地至扶手高660mm。</w:t>
            </w:r>
            <w:r>
              <w:rPr>
                <w:rFonts w:hint="eastAsia" w:ascii="宋体" w:hAnsi="宋体" w:eastAsia="宋体" w:cs="宋体"/>
                <w:b/>
                <w:bCs/>
                <w:color w:val="000000"/>
                <w:kern w:val="0"/>
                <w:sz w:val="21"/>
                <w:szCs w:val="21"/>
                <w:lang w:val="en-US" w:eastAsia="zh-CN"/>
              </w:rPr>
              <w:t>款式要求如下：</w:t>
            </w:r>
          </w:p>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eastAsia="zh-CN"/>
              </w:rPr>
              <w:drawing>
                <wp:inline distT="0" distB="0" distL="114300" distR="114300">
                  <wp:extent cx="920750" cy="1213485"/>
                  <wp:effectExtent l="0" t="0" r="12700" b="5715"/>
                  <wp:docPr id="30" name="图片 30" descr="523be1cd26bf0f634f8b4380c9010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523be1cd26bf0f634f8b4380c9010f4"/>
                          <pic:cNvPicPr>
                            <a:picLocks noChangeAspect="1"/>
                          </pic:cNvPicPr>
                        </pic:nvPicPr>
                        <pic:blipFill>
                          <a:blip r:embed="rId6"/>
                          <a:stretch>
                            <a:fillRect/>
                          </a:stretch>
                        </pic:blipFill>
                        <pic:spPr>
                          <a:xfrm>
                            <a:off x="0" y="0"/>
                            <a:ext cx="920750" cy="121348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3"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5</w:t>
            </w:r>
          </w:p>
        </w:tc>
        <w:tc>
          <w:tcPr>
            <w:tcW w:w="165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培训椅</w:t>
            </w:r>
          </w:p>
        </w:tc>
        <w:tc>
          <w:tcPr>
            <w:tcW w:w="2755"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总长：530mm，总深：500mm，总高：855mm，坐高415mm</w:t>
            </w:r>
          </w:p>
        </w:tc>
        <w:tc>
          <w:tcPr>
            <w:tcW w:w="1023"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黑色</w:t>
            </w:r>
          </w:p>
        </w:tc>
        <w:tc>
          <w:tcPr>
            <w:tcW w:w="777"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张</w:t>
            </w:r>
          </w:p>
        </w:tc>
        <w:tc>
          <w:tcPr>
            <w:tcW w:w="873"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272</w:t>
            </w:r>
          </w:p>
        </w:tc>
        <w:tc>
          <w:tcPr>
            <w:tcW w:w="6747" w:type="dxa"/>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1、全新PP料背框座垫；                                         2、1.2mm实心电镀钢架，可承受200KG重压；                                </w:t>
            </w:r>
          </w:p>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3.塑料胶板设计，突破常规设计，有效增加产品塑料强度，防滑，别具质感，充满视觉效果。全新PP料制作，符合国际环保要求。</w:t>
            </w:r>
          </w:p>
          <w:p>
            <w:pPr>
              <w:jc w:val="both"/>
              <w:rPr>
                <w:rFonts w:hint="eastAsia" w:ascii="宋体" w:hAnsi="宋体" w:eastAsia="宋体" w:cs="宋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913"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6</w:t>
            </w:r>
          </w:p>
        </w:tc>
        <w:tc>
          <w:tcPr>
            <w:tcW w:w="1650" w:type="dxa"/>
            <w:vAlign w:val="center"/>
          </w:tcPr>
          <w:p>
            <w:pPr>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备用会议桌</w:t>
            </w:r>
          </w:p>
        </w:tc>
        <w:tc>
          <w:tcPr>
            <w:tcW w:w="2755"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1500*600*760</w:t>
            </w:r>
          </w:p>
        </w:tc>
        <w:tc>
          <w:tcPr>
            <w:tcW w:w="1023"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胡桃色</w:t>
            </w:r>
          </w:p>
        </w:tc>
        <w:tc>
          <w:tcPr>
            <w:tcW w:w="777"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张</w:t>
            </w:r>
          </w:p>
        </w:tc>
        <w:tc>
          <w:tcPr>
            <w:tcW w:w="873"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w:t>
            </w:r>
          </w:p>
        </w:tc>
        <w:tc>
          <w:tcPr>
            <w:tcW w:w="6747" w:type="dxa"/>
            <w:vAlign w:val="center"/>
          </w:tcPr>
          <w:p>
            <w:pPr>
              <w:bidi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一、材质要求：</w:t>
            </w:r>
          </w:p>
          <w:p>
            <w:pPr>
              <w:bidi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1、基材：采用中密度纤维板，符合国际E1级标准≥0.6mm胡桃木贴皮，含水率低于9%。经防潮、防虫、防腐处理，抗弯力强，不易变形。</w:t>
            </w:r>
          </w:p>
          <w:p>
            <w:pPr>
              <w:bidi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2、面板、层板、侧立板厚度≥25mm；背板厚度≥15mm。</w:t>
            </w:r>
          </w:p>
          <w:p>
            <w:pPr>
              <w:bidi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3、PU底漆要求：符合国家相关标准。</w:t>
            </w:r>
          </w:p>
          <w:p>
            <w:pPr>
              <w:bidi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5、配件：采用国内五金配件。</w:t>
            </w:r>
          </w:p>
          <w:p>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auto"/>
                <w:sz w:val="21"/>
                <w:szCs w:val="21"/>
                <w:highlight w:val="none"/>
              </w:rPr>
              <w:t>二、木制桌部件材质要求：应符合GB/T15104-2006装饰单板贴面人造板和GB18580-2017室内装饰装修材料人造板及其制品中甲醛释放限量两项标准。</w:t>
            </w:r>
            <w:r>
              <w:rPr>
                <w:rFonts w:hint="eastAsia" w:ascii="宋体" w:hAnsi="宋体" w:eastAsia="宋体" w:cs="宋体"/>
                <w:color w:val="000000"/>
                <w:kern w:val="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913"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7</w:t>
            </w:r>
          </w:p>
        </w:tc>
        <w:tc>
          <w:tcPr>
            <w:tcW w:w="165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备用</w:t>
            </w:r>
            <w:r>
              <w:rPr>
                <w:rFonts w:hint="eastAsia" w:ascii="宋体" w:hAnsi="宋体" w:eastAsia="宋体" w:cs="宋体"/>
                <w:kern w:val="2"/>
                <w:sz w:val="21"/>
                <w:szCs w:val="21"/>
                <w:vertAlign w:val="baseline"/>
                <w:lang w:val="en-US" w:eastAsia="zh-CN" w:bidi="ar-SA"/>
              </w:rPr>
              <w:t>会议椅</w:t>
            </w:r>
          </w:p>
        </w:tc>
        <w:tc>
          <w:tcPr>
            <w:tcW w:w="2755"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总长：580mm,扶手间内空长510mm，座深500mm，总高1000mm，靠背高630mm，地至扶手高660mm。</w:t>
            </w:r>
          </w:p>
        </w:tc>
        <w:tc>
          <w:tcPr>
            <w:tcW w:w="1023"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黑色</w:t>
            </w:r>
          </w:p>
        </w:tc>
        <w:tc>
          <w:tcPr>
            <w:tcW w:w="777"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张</w:t>
            </w:r>
          </w:p>
        </w:tc>
        <w:tc>
          <w:tcPr>
            <w:tcW w:w="873"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w:t>
            </w:r>
          </w:p>
        </w:tc>
        <w:tc>
          <w:tcPr>
            <w:tcW w:w="6747" w:type="dxa"/>
            <w:vAlign w:val="center"/>
          </w:tcPr>
          <w:p>
            <w:pPr>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面料：</w:t>
            </w:r>
            <w:r>
              <w:rPr>
                <w:rFonts w:hint="eastAsia" w:ascii="宋体" w:hAnsi="宋体" w:eastAsia="宋体" w:cs="宋体"/>
                <w:sz w:val="21"/>
                <w:szCs w:val="21"/>
                <w:vertAlign w:val="baseline"/>
                <w:lang w:val="en-US" w:eastAsia="zh-CN"/>
              </w:rPr>
              <w:t>采</w:t>
            </w:r>
            <w:r>
              <w:rPr>
                <w:rFonts w:hint="eastAsia" w:ascii="宋体" w:hAnsi="宋体" w:eastAsia="宋体" w:cs="宋体"/>
                <w:sz w:val="21"/>
                <w:szCs w:val="21"/>
                <w:vertAlign w:val="baseline"/>
              </w:rPr>
              <w:t>用优质西皮饰面，</w:t>
            </w:r>
            <w:r>
              <w:rPr>
                <w:rFonts w:hint="eastAsia" w:ascii="宋体" w:hAnsi="宋体" w:eastAsia="宋体" w:cs="宋体"/>
                <w:sz w:val="21"/>
                <w:szCs w:val="21"/>
                <w:vertAlign w:val="baseline"/>
                <w:lang w:val="en-US" w:eastAsia="zh-CN"/>
              </w:rPr>
              <w:t>双层板，</w:t>
            </w:r>
            <w:r>
              <w:rPr>
                <w:rFonts w:hint="eastAsia" w:ascii="宋体" w:hAnsi="宋体" w:eastAsia="宋体" w:cs="宋体"/>
                <w:sz w:val="21"/>
                <w:szCs w:val="21"/>
                <w:vertAlign w:val="baseline"/>
              </w:rPr>
              <w:t>皮质柔软，手感舒适，不易退色，无异味；</w:t>
            </w:r>
          </w:p>
          <w:p>
            <w:pPr>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海绵：选用原生海绵，回弹性好，不易变形；</w:t>
            </w:r>
          </w:p>
          <w:p>
            <w:pPr>
              <w:numPr>
                <w:ilvl w:val="0"/>
                <w:numId w:val="0"/>
              </w:numPr>
              <w:ind w:left="0" w:leftChars="0" w:firstLine="0" w:firstLineChars="0"/>
              <w:jc w:val="both"/>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rPr>
              <w:t>椅架：采用1.5mm厚电镀弓形架，经防腐、防锈电镀处理</w:t>
            </w:r>
            <w:r>
              <w:rPr>
                <w:rFonts w:hint="eastAsia" w:ascii="宋体" w:hAnsi="宋体" w:eastAsia="宋体" w:cs="宋体"/>
                <w:sz w:val="21"/>
                <w:szCs w:val="21"/>
                <w:vertAlign w:val="baseline"/>
                <w:lang w:eastAsia="zh-CN"/>
              </w:rPr>
              <w:t>。</w:t>
            </w:r>
          </w:p>
        </w:tc>
      </w:tr>
    </w:tbl>
    <w:p>
      <w:pPr>
        <w:snapToGrid w:val="0"/>
        <w:spacing w:line="400" w:lineRule="exact"/>
        <w:jc w:val="left"/>
        <w:rPr>
          <w:rFonts w:hint="eastAsia" w:ascii="宋体" w:hAnsi="宋体" w:cs="宋体" w:eastAsiaTheme="minorEastAsia"/>
          <w:b/>
          <w:bCs/>
          <w:szCs w:val="21"/>
          <w:lang w:eastAsia="zh-CN"/>
        </w:rPr>
      </w:pPr>
      <w:r>
        <w:rPr>
          <w:rFonts w:hint="eastAsia" w:ascii="宋体" w:hAnsi="宋体"/>
          <w:b/>
          <w:bCs/>
          <w:szCs w:val="21"/>
          <w:lang w:val="en-US" w:eastAsia="zh-CN"/>
        </w:rPr>
        <w:t>备注：（1）</w:t>
      </w:r>
      <w:r>
        <w:rPr>
          <w:rFonts w:hint="eastAsia" w:ascii="宋体" w:hAnsi="宋体"/>
          <w:b/>
          <w:bCs/>
          <w:szCs w:val="21"/>
        </w:rPr>
        <w:t>现场考察要求</w:t>
      </w:r>
      <w:r>
        <w:rPr>
          <w:rFonts w:hint="eastAsia" w:ascii="宋体" w:hAnsi="宋体"/>
          <w:b/>
          <w:bCs/>
          <w:szCs w:val="21"/>
          <w:lang w:eastAsia="zh-CN"/>
        </w:rPr>
        <w:t>：</w:t>
      </w:r>
      <w:r>
        <w:rPr>
          <w:rFonts w:hint="eastAsia" w:ascii="宋体" w:hAnsi="宋体" w:cs="宋体"/>
          <w:b/>
          <w:bCs/>
          <w:szCs w:val="21"/>
        </w:rPr>
        <w:t>现场考察时间：</w:t>
      </w:r>
      <w:r>
        <w:rPr>
          <w:rFonts w:hint="eastAsia" w:ascii="宋体" w:hAnsi="宋体" w:cs="宋体"/>
          <w:b/>
          <w:bCs/>
          <w:szCs w:val="21"/>
          <w:lang w:val="en-US" w:eastAsia="zh-CN"/>
        </w:rPr>
        <w:t>待通知</w:t>
      </w:r>
      <w:r>
        <w:rPr>
          <w:rFonts w:hint="eastAsia" w:ascii="宋体" w:hAnsi="宋体" w:cs="宋体"/>
          <w:b/>
          <w:bCs/>
          <w:szCs w:val="21"/>
        </w:rPr>
        <w:t>。参与现场考察的人员须提供本人相应身份证复印件、授权委托书原件</w:t>
      </w:r>
      <w:r>
        <w:rPr>
          <w:rFonts w:hint="eastAsia" w:ascii="宋体" w:hAnsi="宋体" w:cs="宋体"/>
          <w:b/>
          <w:bCs/>
          <w:szCs w:val="21"/>
          <w:lang w:eastAsia="zh-CN"/>
        </w:rPr>
        <w:t>。</w:t>
      </w:r>
    </w:p>
    <w:p>
      <w:pPr>
        <w:snapToGrid w:val="0"/>
        <w:spacing w:line="400" w:lineRule="exact"/>
        <w:ind w:firstLine="632" w:firstLineChars="300"/>
        <w:jc w:val="left"/>
        <w:rPr>
          <w:rFonts w:hint="eastAsia" w:eastAsiaTheme="minorEastAsia"/>
          <w:b/>
          <w:bCs/>
          <w:lang w:val="en-US" w:eastAsia="zh-CN"/>
        </w:rPr>
      </w:pPr>
      <w:r>
        <w:rPr>
          <w:rFonts w:hint="eastAsia" w:ascii="宋体" w:hAnsi="宋体" w:cs="宋体"/>
          <w:b/>
          <w:bCs/>
          <w:szCs w:val="21"/>
          <w:lang w:val="en-US" w:eastAsia="zh-CN"/>
        </w:rPr>
        <w:t>（2）考察现场后，根据现场尺寸</w:t>
      </w:r>
      <w:r>
        <w:rPr>
          <w:rFonts w:hint="eastAsia" w:hAnsi="宋体" w:cs="宋体"/>
          <w:b/>
          <w:bCs/>
          <w:color w:val="auto"/>
          <w:sz w:val="21"/>
          <w:szCs w:val="21"/>
          <w:lang w:val="en-US" w:eastAsia="zh-CN"/>
        </w:rPr>
        <w:t>提供</w:t>
      </w:r>
      <w:r>
        <w:rPr>
          <w:rFonts w:hint="eastAsia"/>
          <w:b/>
          <w:bCs/>
        </w:rPr>
        <w:t>平面布置图</w:t>
      </w:r>
      <w:r>
        <w:rPr>
          <w:rFonts w:hint="eastAsia"/>
          <w:b/>
          <w:bCs/>
          <w:lang w:val="en-US" w:eastAsia="zh-CN"/>
        </w:rPr>
        <w:t>及</w:t>
      </w:r>
      <w:r>
        <w:rPr>
          <w:rFonts w:hint="eastAsia"/>
          <w:b/>
          <w:bCs/>
        </w:rPr>
        <w:t>效果图</w:t>
      </w:r>
      <w:r>
        <w:rPr>
          <w:rFonts w:hint="eastAsia" w:hAnsi="宋体" w:cs="宋体"/>
          <w:b/>
          <w:bCs/>
          <w:color w:val="auto"/>
          <w:sz w:val="21"/>
          <w:szCs w:val="21"/>
          <w:lang w:val="en-US" w:eastAsia="zh-CN"/>
        </w:rPr>
        <w:t>，设计合理、实用。</w:t>
      </w:r>
    </w:p>
    <w:p>
      <w:pPr>
        <w:rPr>
          <w:rFonts w:hint="eastAsia" w:ascii="宋体" w:hAnsi="宋体"/>
          <w:b/>
          <w:sz w:val="32"/>
          <w:szCs w:val="32"/>
        </w:rPr>
      </w:pPr>
      <w:r>
        <w:rPr>
          <w:rFonts w:hint="eastAsia" w:ascii="宋体" w:hAnsi="宋体"/>
          <w:b/>
          <w:sz w:val="32"/>
          <w:szCs w:val="32"/>
        </w:rPr>
        <w:br w:type="page"/>
      </w:r>
    </w:p>
    <w:p>
      <w:pPr>
        <w:pStyle w:val="2"/>
        <w:rPr>
          <w:rFonts w:hint="eastAsia"/>
        </w:rPr>
      </w:pPr>
    </w:p>
    <w:p>
      <w:pPr>
        <w:jc w:val="center"/>
        <w:rPr>
          <w:rFonts w:hint="eastAsia" w:ascii="宋体" w:hAnsi="宋体"/>
          <w:b/>
          <w:sz w:val="32"/>
          <w:szCs w:val="32"/>
        </w:rPr>
      </w:pPr>
      <w:r>
        <w:rPr>
          <w:rFonts w:hint="eastAsia" w:ascii="宋体" w:hAnsi="宋体"/>
          <w:b/>
          <w:sz w:val="32"/>
          <w:szCs w:val="32"/>
        </w:rPr>
        <w:t>第四章 评标办法</w:t>
      </w:r>
    </w:p>
    <w:p>
      <w:pPr>
        <w:pStyle w:val="7"/>
        <w:spacing w:line="400" w:lineRule="exact"/>
        <w:ind w:firstLine="413" w:firstLineChars="196"/>
        <w:rPr>
          <w:rFonts w:hAnsi="宋体"/>
          <w:b/>
          <w:bCs/>
        </w:rPr>
      </w:pPr>
      <w:r>
        <w:rPr>
          <w:rFonts w:hint="eastAsia" w:hAnsi="宋体"/>
          <w:b/>
          <w:bCs/>
        </w:rPr>
        <w:t>一、评标依据及方式</w:t>
      </w:r>
    </w:p>
    <w:p>
      <w:pPr>
        <w:pStyle w:val="7"/>
        <w:spacing w:line="400" w:lineRule="exact"/>
        <w:ind w:firstLine="420" w:firstLineChars="200"/>
        <w:rPr>
          <w:rFonts w:hint="eastAsia" w:hAnsi="宋体"/>
        </w:rPr>
      </w:pPr>
      <w:r>
        <w:rPr>
          <w:rFonts w:hint="eastAsia" w:hAnsi="宋体"/>
        </w:rPr>
        <w:t>1.评标依据：评标委员会以招标文件和投标文件为评标依据，对投标人的投标报价、技术、增值售后服务方案、履约能力、政策功能（节能、环保等）等方面内容进行评审并按百分制打分。</w:t>
      </w:r>
    </w:p>
    <w:p>
      <w:pPr>
        <w:pStyle w:val="7"/>
        <w:spacing w:line="400" w:lineRule="exact"/>
        <w:ind w:left="210" w:leftChars="100" w:firstLine="210" w:firstLineChars="100"/>
        <w:rPr>
          <w:rFonts w:hint="eastAsia" w:hAnsi="宋体"/>
        </w:rPr>
      </w:pPr>
      <w:r>
        <w:rPr>
          <w:rFonts w:hint="eastAsia" w:hAnsi="宋体"/>
        </w:rPr>
        <w:t>2.评标方式：以封闭方式进行评标。</w:t>
      </w:r>
    </w:p>
    <w:p>
      <w:pPr>
        <w:pStyle w:val="7"/>
        <w:spacing w:line="400" w:lineRule="exact"/>
        <w:ind w:left="210" w:leftChars="100" w:firstLine="210" w:firstLineChars="100"/>
        <w:rPr>
          <w:rFonts w:hint="eastAsia" w:hAnsi="宋体"/>
        </w:rPr>
      </w:pPr>
      <w:r>
        <w:rPr>
          <w:rFonts w:hint="eastAsia" w:hAnsi="宋体"/>
        </w:rPr>
        <w:t>3.根据财库〔2012〕69号文规定，采购人和采购代理机构、评标委员会成员要严格遵守政府采购相关法律制度，依法履行各自职责，公正、客观、审慎地组织和参与评审工作。</w:t>
      </w:r>
    </w:p>
    <w:p>
      <w:pPr>
        <w:pStyle w:val="7"/>
        <w:spacing w:line="400" w:lineRule="exact"/>
        <w:ind w:firstLine="422" w:firstLineChars="200"/>
        <w:rPr>
          <w:rFonts w:hint="eastAsia" w:hAnsi="宋体"/>
          <w:b/>
          <w:bCs/>
        </w:rPr>
      </w:pPr>
      <w:r>
        <w:rPr>
          <w:rFonts w:hint="eastAsia" w:hAnsi="宋体"/>
          <w:b/>
          <w:bCs/>
        </w:rPr>
        <w:t>二、评标办法</w:t>
      </w:r>
    </w:p>
    <w:p>
      <w:pPr>
        <w:pStyle w:val="7"/>
        <w:spacing w:line="400" w:lineRule="exact"/>
        <w:ind w:firstLine="420" w:firstLineChars="200"/>
        <w:rPr>
          <w:rFonts w:hint="eastAsia" w:hAnsi="宋体"/>
          <w:bCs/>
        </w:rPr>
      </w:pPr>
      <w:r>
        <w:rPr>
          <w:rFonts w:hint="eastAsia" w:hAnsi="宋体"/>
          <w:bCs/>
        </w:rPr>
        <w:t>（一）对进入详评的，采用综合评分法。</w:t>
      </w:r>
    </w:p>
    <w:p>
      <w:pPr>
        <w:pStyle w:val="7"/>
        <w:spacing w:line="400" w:lineRule="exact"/>
        <w:ind w:firstLine="420" w:firstLineChars="200"/>
        <w:rPr>
          <w:rFonts w:hint="eastAsia" w:hAnsi="宋体"/>
          <w:bCs/>
        </w:rPr>
      </w:pPr>
      <w:r>
        <w:rPr>
          <w:rFonts w:hint="eastAsia" w:hAnsi="宋体"/>
          <w:bCs/>
        </w:rPr>
        <w:t>（二）计分办法（按四舍五入取至小数点后二位）</w:t>
      </w:r>
    </w:p>
    <w:p>
      <w:pPr>
        <w:pStyle w:val="7"/>
        <w:spacing w:line="360" w:lineRule="exact"/>
        <w:ind w:firstLine="420"/>
        <w:rPr>
          <w:rFonts w:hint="eastAsia" w:hAnsi="宋体"/>
          <w:bCs/>
        </w:rPr>
      </w:pPr>
      <w:r>
        <w:rPr>
          <w:rFonts w:hint="eastAsia" w:hAnsi="宋体"/>
          <w:b/>
        </w:rPr>
        <w:t>1.</w:t>
      </w:r>
      <w:r>
        <w:rPr>
          <w:rFonts w:hint="eastAsia" w:hAnsi="宋体"/>
          <w:b/>
          <w:bCs/>
        </w:rPr>
        <w:t>价格分………………………………………………………………………………………………50分</w:t>
      </w:r>
    </w:p>
    <w:p>
      <w:pPr>
        <w:pStyle w:val="7"/>
        <w:spacing w:line="360" w:lineRule="auto"/>
        <w:ind w:firstLine="315" w:firstLineChars="150"/>
        <w:jc w:val="left"/>
        <w:rPr>
          <w:color w:val="auto"/>
        </w:rPr>
      </w:pPr>
      <w:r>
        <w:rPr>
          <w:rFonts w:hint="eastAsia"/>
          <w:color w:val="auto"/>
        </w:rPr>
        <w:t>（2）某投标人价格分 = 投标人最低评标价（金额）/某投标人评标价（金额）×</w:t>
      </w:r>
      <w:r>
        <w:rPr>
          <w:rFonts w:hint="eastAsia"/>
          <w:color w:val="auto"/>
          <w:lang w:val="en-US" w:eastAsia="zh-CN"/>
        </w:rPr>
        <w:t>5</w:t>
      </w:r>
      <w:r>
        <w:rPr>
          <w:rFonts w:hint="eastAsia"/>
          <w:color w:val="auto"/>
        </w:rPr>
        <w:t xml:space="preserve">0分 </w:t>
      </w:r>
    </w:p>
    <w:p>
      <w:pPr>
        <w:pStyle w:val="7"/>
        <w:spacing w:line="400" w:lineRule="exact"/>
        <w:ind w:firstLine="422" w:firstLineChars="200"/>
        <w:outlineLvl w:val="0"/>
        <w:rPr>
          <w:rFonts w:hint="eastAsia" w:hAnsi="宋体"/>
          <w:b/>
          <w:bCs/>
        </w:rPr>
      </w:pPr>
      <w:r>
        <w:rPr>
          <w:rFonts w:hint="eastAsia" w:hAnsi="宋体"/>
          <w:b/>
          <w:bCs/>
        </w:rPr>
        <w:t>2.</w:t>
      </w:r>
      <w:r>
        <w:rPr>
          <w:rFonts w:hint="eastAsia" w:hAnsi="宋体" w:cs="宋体"/>
          <w:b/>
          <w:bCs/>
          <w:szCs w:val="21"/>
        </w:rPr>
        <w:t>质量保障分</w:t>
      </w:r>
      <w:r>
        <w:rPr>
          <w:rFonts w:hint="eastAsia" w:hAnsi="宋体"/>
          <w:b/>
          <w:bCs/>
        </w:rPr>
        <w:t>……………………………………………………………………………………………</w:t>
      </w:r>
      <w:r>
        <w:rPr>
          <w:rFonts w:hint="eastAsia" w:hAnsi="宋体"/>
          <w:b/>
          <w:bCs/>
          <w:lang w:val="en-US" w:eastAsia="zh-CN"/>
        </w:rPr>
        <w:t>41</w:t>
      </w:r>
      <w:r>
        <w:rPr>
          <w:rFonts w:hint="eastAsia" w:hAnsi="宋体"/>
          <w:b/>
          <w:bCs/>
        </w:rPr>
        <w:t>分</w:t>
      </w:r>
    </w:p>
    <w:p>
      <w:pPr>
        <w:pStyle w:val="7"/>
        <w:spacing w:line="44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w:t>
      </w:r>
      <w:r>
        <w:rPr>
          <w:rFonts w:hint="eastAsia" w:asciiTheme="minorEastAsia" w:hAnsiTheme="minorEastAsia" w:eastAsiaTheme="minorEastAsia" w:cstheme="minorEastAsia"/>
          <w:b/>
          <w:bCs/>
          <w:szCs w:val="21"/>
          <w:lang w:val="en-US" w:eastAsia="zh-CN"/>
        </w:rPr>
        <w:t>1合格检验报告</w:t>
      </w:r>
      <w:r>
        <w:rPr>
          <w:rFonts w:hint="eastAsia" w:asciiTheme="minorEastAsia" w:hAnsiTheme="minorEastAsia" w:eastAsiaTheme="minorEastAsia" w:cstheme="minorEastAsia"/>
          <w:b/>
          <w:bCs/>
          <w:szCs w:val="21"/>
        </w:rPr>
        <w:t>分（满分</w:t>
      </w:r>
      <w:r>
        <w:rPr>
          <w:rFonts w:hint="eastAsia" w:asciiTheme="minorEastAsia" w:hAnsiTheme="minorEastAsia" w:cstheme="minorEastAsia"/>
          <w:b/>
          <w:bCs/>
          <w:szCs w:val="21"/>
          <w:lang w:val="en-US" w:eastAsia="zh-CN"/>
        </w:rPr>
        <w:t>12</w:t>
      </w:r>
      <w:r>
        <w:rPr>
          <w:rFonts w:hint="eastAsia" w:asciiTheme="minorEastAsia" w:hAnsiTheme="minorEastAsia" w:eastAsiaTheme="minorEastAsia" w:cstheme="minorEastAsia"/>
          <w:b/>
          <w:bCs/>
          <w:szCs w:val="21"/>
        </w:rPr>
        <w:t>分）</w:t>
      </w:r>
    </w:p>
    <w:p>
      <w:pPr>
        <w:bidi w:val="0"/>
        <w:ind w:left="1260" w:leftChars="300" w:hanging="630" w:hangingChars="300"/>
        <w:jc w:val="left"/>
        <w:rPr>
          <w:rFonts w:hint="eastAsia"/>
          <w:color w:val="auto"/>
          <w:highlight w:val="none"/>
          <w:lang w:val="en-US" w:eastAsia="zh-CN"/>
        </w:rPr>
      </w:pPr>
      <w:r>
        <w:rPr>
          <w:rFonts w:hint="eastAsia" w:ascii="宋体" w:hAnsi="宋体" w:cs="宋体"/>
          <w:color w:val="auto"/>
          <w:szCs w:val="21"/>
          <w:lang w:val="en-US" w:eastAsia="zh-CN"/>
        </w:rPr>
        <w:t>（1）、</w:t>
      </w:r>
      <w:r>
        <w:rPr>
          <w:rFonts w:hint="eastAsia" w:ascii="宋体" w:hAnsi="宋体" w:cs="宋体"/>
          <w:color w:val="auto"/>
          <w:szCs w:val="21"/>
        </w:rPr>
        <w:t>提供</w:t>
      </w:r>
      <w:r>
        <w:rPr>
          <w:rFonts w:hint="eastAsia" w:ascii="宋体" w:hAnsi="宋体" w:cs="宋体"/>
          <w:b/>
          <w:bCs/>
          <w:color w:val="auto"/>
          <w:szCs w:val="21"/>
          <w:lang w:val="en-US" w:eastAsia="zh-CN"/>
        </w:rPr>
        <w:t>（主席台）</w:t>
      </w:r>
      <w:r>
        <w:rPr>
          <w:rFonts w:hint="eastAsia"/>
          <w:b/>
          <w:bCs/>
          <w:color w:val="auto"/>
          <w:highlight w:val="none"/>
          <w:lang w:val="en-US" w:eastAsia="zh-CN"/>
        </w:rPr>
        <w:t>木制桌背板</w:t>
      </w:r>
      <w:r>
        <w:rPr>
          <w:rFonts w:hint="eastAsia" w:ascii="宋体" w:hAnsi="宋体" w:cs="宋体"/>
          <w:color w:val="auto"/>
          <w:szCs w:val="21"/>
          <w:lang w:val="en-US" w:eastAsia="zh-CN"/>
        </w:rPr>
        <w:t xml:space="preserve"> </w:t>
      </w:r>
      <w:r>
        <w:rPr>
          <w:rFonts w:hint="eastAsia" w:ascii="宋体" w:hAnsi="宋体" w:cs="宋体"/>
          <w:color w:val="auto"/>
          <w:szCs w:val="21"/>
        </w:rPr>
        <w:t>检验检测报告，检测内容包含但不限以下：</w:t>
      </w:r>
      <w:r>
        <w:rPr>
          <w:rFonts w:hint="eastAsia"/>
          <w:color w:val="auto"/>
          <w:highlight w:val="none"/>
          <w:lang w:val="en-US" w:eastAsia="zh-CN"/>
        </w:rPr>
        <w:t xml:space="preserve">①含水率：应为8%~产品所在地区年平均木材含水+1%；②表面胶合强度：合格数与试件数之比：≥90%；③甲醛释放量：（1m³气候箱法）E1≤0.124mg/m³； </w:t>
      </w:r>
    </w:p>
    <w:p>
      <w:pPr>
        <w:bidi w:val="0"/>
        <w:ind w:left="1260" w:leftChars="300" w:hanging="630" w:hangingChars="300"/>
        <w:jc w:val="left"/>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提供</w:t>
      </w:r>
      <w:r>
        <w:rPr>
          <w:rFonts w:hint="eastAsia" w:ascii="宋体" w:hAnsi="宋体" w:cs="宋体"/>
          <w:b/>
          <w:bCs/>
          <w:color w:val="auto"/>
          <w:szCs w:val="21"/>
          <w:lang w:val="en-US" w:eastAsia="zh-CN"/>
        </w:rPr>
        <w:t>（主席台）</w:t>
      </w:r>
      <w:r>
        <w:rPr>
          <w:rFonts w:hint="eastAsia"/>
          <w:b/>
          <w:bCs/>
          <w:color w:val="auto"/>
          <w:highlight w:val="none"/>
          <w:lang w:val="en-US" w:eastAsia="zh-CN"/>
        </w:rPr>
        <w:t>木制桌层板</w:t>
      </w:r>
      <w:r>
        <w:rPr>
          <w:rFonts w:hint="eastAsia"/>
          <w:color w:val="auto"/>
          <w:highlight w:val="none"/>
          <w:lang w:val="en-US" w:eastAsia="zh-CN"/>
        </w:rPr>
        <w:t>：</w:t>
      </w:r>
      <w:r>
        <w:rPr>
          <w:rFonts w:hint="eastAsia" w:ascii="宋体" w:hAnsi="宋体" w:cs="宋体"/>
          <w:color w:val="auto"/>
          <w:szCs w:val="21"/>
        </w:rPr>
        <w:t>检验检测报告，检测内容包含但不限以下：</w:t>
      </w:r>
      <w:r>
        <w:rPr>
          <w:rFonts w:hint="eastAsia" w:ascii="宋体" w:hAnsi="宋体" w:cs="宋体"/>
          <w:szCs w:val="21"/>
          <w:lang w:val="en-US" w:eastAsia="zh-CN"/>
        </w:rPr>
        <w:t xml:space="preserve"> </w:t>
      </w:r>
      <w:r>
        <w:rPr>
          <w:rFonts w:hint="eastAsia"/>
          <w:color w:val="auto"/>
          <w:highlight w:val="none"/>
          <w:lang w:val="en-US" w:eastAsia="zh-CN"/>
        </w:rPr>
        <w:t>①含水率：应为8%~产品所在地区年平均木材含水率+1%；②表面胶合强度：合格数与试件数之比：≥90%；③甲醛释放量：（1m³气候箱法）E1≤0.124mg/m³；</w:t>
      </w:r>
    </w:p>
    <w:p>
      <w:pPr>
        <w:bidi w:val="0"/>
        <w:ind w:left="1260" w:leftChars="300" w:hanging="630" w:hangingChars="300"/>
        <w:jc w:val="left"/>
        <w:rPr>
          <w:rFonts w:hint="eastAsia"/>
          <w:color w:val="auto"/>
          <w:highlight w:val="none"/>
          <w:lang w:val="en-US" w:eastAsia="zh-CN"/>
        </w:rPr>
      </w:pPr>
      <w:r>
        <w:rPr>
          <w:rFonts w:hint="eastAsia" w:ascii="宋体" w:hAnsi="宋体" w:cs="宋体"/>
          <w:color w:val="auto"/>
          <w:szCs w:val="21"/>
          <w:lang w:val="en-US" w:eastAsia="zh-CN"/>
        </w:rPr>
        <w:t>（3）、</w:t>
      </w:r>
      <w:r>
        <w:rPr>
          <w:rFonts w:hint="eastAsia" w:ascii="宋体" w:hAnsi="宋体" w:cs="宋体"/>
          <w:color w:val="auto"/>
          <w:szCs w:val="21"/>
        </w:rPr>
        <w:t>提供</w:t>
      </w:r>
      <w:r>
        <w:rPr>
          <w:rFonts w:hint="eastAsia" w:ascii="宋体" w:hAnsi="宋体" w:cs="宋体"/>
          <w:b/>
          <w:bCs/>
          <w:color w:val="auto"/>
          <w:szCs w:val="21"/>
          <w:lang w:val="en-US" w:eastAsia="zh-CN"/>
        </w:rPr>
        <w:t>（主席台）</w:t>
      </w:r>
      <w:r>
        <w:rPr>
          <w:rFonts w:hint="eastAsia"/>
          <w:b/>
          <w:bCs/>
          <w:color w:val="auto"/>
          <w:highlight w:val="none"/>
          <w:lang w:val="en-US" w:eastAsia="zh-CN"/>
        </w:rPr>
        <w:t>木制桌脚侧立板</w:t>
      </w:r>
      <w:r>
        <w:rPr>
          <w:rFonts w:hint="eastAsia"/>
          <w:color w:val="auto"/>
          <w:highlight w:val="none"/>
          <w:lang w:val="en-US" w:eastAsia="zh-CN"/>
        </w:rPr>
        <w:t>：</w:t>
      </w:r>
      <w:r>
        <w:rPr>
          <w:rFonts w:hint="eastAsia" w:ascii="宋体" w:hAnsi="宋体" w:cs="宋体"/>
          <w:b/>
          <w:bCs/>
          <w:color w:val="auto"/>
          <w:szCs w:val="21"/>
          <w:lang w:val="en-US" w:eastAsia="zh-CN"/>
        </w:rPr>
        <w:t xml:space="preserve"> </w:t>
      </w:r>
      <w:r>
        <w:rPr>
          <w:rFonts w:hint="eastAsia" w:ascii="宋体" w:hAnsi="宋体" w:cs="宋体"/>
          <w:color w:val="auto"/>
          <w:szCs w:val="21"/>
        </w:rPr>
        <w:t>检验检测报告，检测内容包含但不限以下：</w:t>
      </w:r>
      <w:r>
        <w:rPr>
          <w:rFonts w:hint="eastAsia"/>
          <w:color w:val="auto"/>
          <w:highlight w:val="none"/>
          <w:lang w:val="en-US" w:eastAsia="zh-CN"/>
        </w:rPr>
        <w:t>①含水率：应为8%~产品所在地区年平均木材含水率+1%；②表面胶合强度：合格数与试件数之比：≥90%；③甲醛释放量：（1m³气候箱法）E1≤0.124mg/m³；</w:t>
      </w:r>
    </w:p>
    <w:p>
      <w:pPr>
        <w:bidi w:val="0"/>
        <w:ind w:left="1260" w:leftChars="300" w:hanging="630" w:hangingChars="300"/>
        <w:jc w:val="left"/>
        <w:rPr>
          <w:rFonts w:hint="eastAsia"/>
          <w:b w:val="0"/>
          <w:bCs/>
          <w:color w:val="auto"/>
        </w:rPr>
      </w:pPr>
      <w:r>
        <w:rPr>
          <w:rFonts w:hint="eastAsia" w:ascii="宋体" w:hAnsi="宋体" w:cs="宋体"/>
          <w:color w:val="auto"/>
          <w:szCs w:val="21"/>
          <w:lang w:val="en-US" w:eastAsia="zh-CN"/>
        </w:rPr>
        <w:t>（4）、</w:t>
      </w:r>
      <w:r>
        <w:rPr>
          <w:rFonts w:hint="eastAsia" w:ascii="宋体" w:hAnsi="宋体" w:cs="宋体"/>
          <w:color w:val="auto"/>
          <w:szCs w:val="21"/>
        </w:rPr>
        <w:t>提供</w:t>
      </w:r>
      <w:r>
        <w:rPr>
          <w:rFonts w:hint="eastAsia" w:ascii="宋体" w:hAnsi="宋体" w:cs="宋体"/>
          <w:b/>
          <w:bCs/>
          <w:color w:val="auto"/>
          <w:szCs w:val="21"/>
          <w:lang w:val="en-US" w:eastAsia="zh-CN"/>
        </w:rPr>
        <w:t>（主席台）</w:t>
      </w:r>
      <w:r>
        <w:rPr>
          <w:rFonts w:hint="eastAsia"/>
          <w:b/>
          <w:bCs/>
          <w:color w:val="auto"/>
          <w:highlight w:val="none"/>
          <w:lang w:val="en-US" w:eastAsia="zh-CN"/>
        </w:rPr>
        <w:t>木制桌面板</w:t>
      </w:r>
      <w:r>
        <w:rPr>
          <w:rFonts w:hint="eastAsia"/>
          <w:color w:val="auto"/>
          <w:highlight w:val="none"/>
          <w:lang w:val="en-US" w:eastAsia="zh-CN"/>
        </w:rPr>
        <w:t>：</w:t>
      </w:r>
      <w:r>
        <w:rPr>
          <w:rFonts w:hint="eastAsia" w:ascii="宋体" w:hAnsi="宋体" w:cs="宋体"/>
          <w:b/>
          <w:bCs/>
          <w:color w:val="auto"/>
          <w:szCs w:val="21"/>
          <w:lang w:val="en-US" w:eastAsia="zh-CN"/>
        </w:rPr>
        <w:t xml:space="preserve"> </w:t>
      </w:r>
      <w:r>
        <w:rPr>
          <w:rFonts w:hint="eastAsia" w:ascii="宋体" w:hAnsi="宋体" w:cs="宋体"/>
          <w:color w:val="auto"/>
          <w:szCs w:val="21"/>
        </w:rPr>
        <w:t>检验检测报告，检测内容包含但不限以下：</w:t>
      </w:r>
      <w:r>
        <w:rPr>
          <w:rFonts w:hint="eastAsia"/>
          <w:color w:val="auto"/>
          <w:highlight w:val="none"/>
          <w:lang w:val="en-US" w:eastAsia="zh-CN"/>
        </w:rPr>
        <w:t>①含水率：应为8%~产品所在地区年平均木材含水率+1%；②表面胶合强度：合格数与试件数之比：≥90%；③甲醛释放量：（1m³气候箱法）E1≤0.124mg/m³；</w:t>
      </w:r>
    </w:p>
    <w:p>
      <w:pPr>
        <w:tabs>
          <w:tab w:val="left" w:pos="1169"/>
        </w:tabs>
        <w:spacing w:line="360" w:lineRule="auto"/>
        <w:ind w:firstLine="420" w:firstLineChars="200"/>
        <w:jc w:val="left"/>
        <w:rPr>
          <w:rFonts w:hint="eastAsia" w:hAnsi="宋体"/>
          <w:b/>
          <w:szCs w:val="21"/>
        </w:rPr>
      </w:pPr>
      <w:r>
        <w:rPr>
          <w:rFonts w:hint="eastAsia"/>
          <w:b w:val="0"/>
          <w:bCs/>
        </w:rPr>
        <w:t xml:space="preserve">   </w:t>
      </w:r>
      <w:r>
        <w:rPr>
          <w:rFonts w:hint="eastAsia" w:ascii="宋体" w:hAnsi="宋体" w:cs="宋体"/>
          <w:color w:val="auto"/>
          <w:szCs w:val="21"/>
        </w:rPr>
        <w:t>以上检测报告必须由CMA资质的质检机构出具（投标人提供检测报告复印件并加盖公章），检测指标符合国家标准，检测指标符合或优于招标文件技术要求，投标人必须提供检测报告查询方法及途径， 方便查询真伪，检验依据不符、检测内容不符不得分，原件备查。</w:t>
      </w:r>
    </w:p>
    <w:p>
      <w:pPr>
        <w:pStyle w:val="7"/>
        <w:spacing w:line="400" w:lineRule="exact"/>
        <w:ind w:firstLine="422" w:firstLineChars="200"/>
        <w:rPr>
          <w:rFonts w:hint="eastAsia" w:hAnsi="宋体"/>
          <w:b/>
          <w:szCs w:val="21"/>
        </w:rPr>
      </w:pPr>
      <w:r>
        <w:rPr>
          <w:rFonts w:hint="eastAsia" w:hAnsi="宋体"/>
          <w:b/>
          <w:szCs w:val="21"/>
        </w:rPr>
        <w:t>2.</w:t>
      </w:r>
      <w:r>
        <w:rPr>
          <w:rFonts w:hint="eastAsia" w:hAnsi="宋体"/>
          <w:b/>
          <w:szCs w:val="21"/>
          <w:lang w:val="en-US" w:eastAsia="zh-CN"/>
        </w:rPr>
        <w:t>2</w:t>
      </w:r>
      <w:r>
        <w:rPr>
          <w:rFonts w:hint="eastAsia" w:hAnsi="宋体"/>
          <w:b/>
          <w:szCs w:val="21"/>
        </w:rPr>
        <w:t>样品分（</w:t>
      </w:r>
      <w:r>
        <w:rPr>
          <w:rFonts w:hint="eastAsia" w:hAnsi="宋体"/>
          <w:b/>
          <w:szCs w:val="21"/>
          <w:lang w:val="en-US" w:eastAsia="zh-CN"/>
        </w:rPr>
        <w:t>25</w:t>
      </w:r>
      <w:r>
        <w:rPr>
          <w:rFonts w:hint="eastAsia" w:hAnsi="宋体"/>
          <w:b/>
          <w:szCs w:val="21"/>
        </w:rPr>
        <w:t>分）</w:t>
      </w:r>
    </w:p>
    <w:p>
      <w:pPr>
        <w:pStyle w:val="2"/>
        <w:ind w:firstLine="420"/>
        <w:rPr>
          <w:rFonts w:hint="eastAsia"/>
        </w:rPr>
      </w:pPr>
      <w:r>
        <w:rPr>
          <w:rFonts w:hint="eastAsia"/>
        </w:rPr>
        <w:t>一档（</w:t>
      </w:r>
      <w:r>
        <w:rPr>
          <w:rFonts w:hint="eastAsia"/>
          <w:lang w:val="en-US" w:eastAsia="zh-CN"/>
        </w:rPr>
        <w:t>5</w:t>
      </w:r>
      <w:r>
        <w:rPr>
          <w:rFonts w:hint="eastAsia"/>
        </w:rPr>
        <w:t>分）：投标样品（小样）表面不平整，工艺制作粗糙、不牢固，材料用料劣质、有明显刺鼻异味；</w:t>
      </w:r>
      <w:r>
        <w:rPr>
          <w:rFonts w:hint="eastAsia"/>
        </w:rPr>
        <w:br w:type="textWrapping"/>
      </w:r>
      <w:r>
        <w:rPr>
          <w:rFonts w:hint="eastAsia"/>
        </w:rPr>
        <w:t xml:space="preserve">    二档（</w:t>
      </w:r>
      <w:r>
        <w:rPr>
          <w:rFonts w:hint="eastAsia"/>
          <w:lang w:val="en-US" w:eastAsia="zh-CN"/>
        </w:rPr>
        <w:t>15</w:t>
      </w:r>
      <w:r>
        <w:rPr>
          <w:rFonts w:hint="eastAsia"/>
        </w:rPr>
        <w:t>分）：投标样品（小样）表面基本平整，工艺制作一般、有一定的牢固性及安全性，材料用料一般，有轻微刺鼻异味；</w:t>
      </w:r>
      <w:r>
        <w:rPr>
          <w:rFonts w:hint="eastAsia"/>
        </w:rPr>
        <w:br w:type="textWrapping"/>
      </w:r>
      <w:r>
        <w:rPr>
          <w:rFonts w:hint="eastAsia"/>
        </w:rPr>
        <w:t xml:space="preserve">    三档（</w:t>
      </w:r>
      <w:r>
        <w:rPr>
          <w:rFonts w:hint="eastAsia"/>
          <w:lang w:val="en-US" w:eastAsia="zh-CN"/>
        </w:rPr>
        <w:t>25</w:t>
      </w:r>
      <w:r>
        <w:rPr>
          <w:rFonts w:hint="eastAsia"/>
        </w:rPr>
        <w:t>分）：投标样品（小样）表面平整，工艺制作精细、结实、牢固安全，材料用料优质、厚实无刺鼻异味，美观实用。</w:t>
      </w:r>
    </w:p>
    <w:p>
      <w:pPr>
        <w:pStyle w:val="2"/>
        <w:ind w:firstLine="422"/>
        <w:rPr>
          <w:rFonts w:hint="eastAsia"/>
          <w:b/>
        </w:rPr>
      </w:pPr>
      <w:r>
        <w:rPr>
          <w:rFonts w:hint="eastAsia"/>
          <w:b/>
        </w:rPr>
        <w:t>注：</w:t>
      </w:r>
      <w:r>
        <w:rPr>
          <w:rFonts w:hint="eastAsia" w:hAnsi="宋体"/>
          <w:b/>
          <w:kern w:val="0"/>
          <w:szCs w:val="21"/>
        </w:rPr>
        <w:t>未按要求递交或未完整递交实物样品的不予得分</w:t>
      </w:r>
      <w:r>
        <w:rPr>
          <w:rFonts w:hint="eastAsia"/>
          <w:b/>
        </w:rPr>
        <w:t>。</w:t>
      </w:r>
    </w:p>
    <w:p>
      <w:pPr>
        <w:pStyle w:val="7"/>
        <w:spacing w:line="400" w:lineRule="exact"/>
        <w:ind w:firstLine="420"/>
        <w:rPr>
          <w:rFonts w:hint="eastAsia"/>
          <w:b/>
          <w:lang w:val="en-US" w:eastAsia="zh-CN"/>
        </w:rPr>
      </w:pPr>
      <w:r>
        <w:rPr>
          <w:rFonts w:hint="eastAsia"/>
          <w:b/>
          <w:lang w:val="en-US" w:eastAsia="zh-CN"/>
        </w:rPr>
        <w:t>2.3设计分（4分）</w:t>
      </w:r>
      <w:r>
        <w:rPr>
          <w:rFonts w:hint="eastAsia" w:hAnsi="宋体"/>
          <w:b/>
          <w:bCs/>
        </w:rPr>
        <w:t>………………………………………………………………………………</w:t>
      </w:r>
      <w:r>
        <w:rPr>
          <w:rFonts w:hint="eastAsia" w:hAnsi="宋体"/>
          <w:b/>
          <w:bCs/>
          <w:lang w:val="en-US" w:eastAsia="zh-CN"/>
        </w:rPr>
        <w:t>4</w:t>
      </w:r>
      <w:r>
        <w:rPr>
          <w:rFonts w:hint="eastAsia" w:hAnsi="宋体"/>
          <w:b/>
          <w:bCs/>
        </w:rPr>
        <w:t>分</w:t>
      </w:r>
    </w:p>
    <w:p>
      <w:pPr>
        <w:snapToGrid w:val="0"/>
        <w:spacing w:line="400" w:lineRule="exact"/>
        <w:ind w:firstLine="420" w:firstLineChars="200"/>
        <w:rPr>
          <w:rFonts w:hint="eastAsia" w:ascii="宋体" w:hAnsi="宋体" w:cs="宋体"/>
          <w:szCs w:val="21"/>
        </w:rPr>
      </w:pPr>
      <w:r>
        <w:rPr>
          <w:rFonts w:hint="eastAsia" w:ascii="宋体" w:hAnsi="宋体"/>
          <w:szCs w:val="21"/>
          <w:lang w:val="en-US" w:eastAsia="zh-CN"/>
        </w:rPr>
        <w:t>（1）</w:t>
      </w:r>
      <w:r>
        <w:rPr>
          <w:rFonts w:hint="eastAsia" w:ascii="宋体" w:hAnsi="宋体"/>
          <w:szCs w:val="21"/>
        </w:rPr>
        <w:t>现场考察要求</w:t>
      </w:r>
      <w:r>
        <w:rPr>
          <w:rFonts w:hint="eastAsia" w:ascii="宋体" w:hAnsi="宋体"/>
          <w:szCs w:val="21"/>
          <w:lang w:eastAsia="zh-CN"/>
        </w:rPr>
        <w:t>：</w:t>
      </w:r>
      <w:r>
        <w:rPr>
          <w:rFonts w:hint="eastAsia" w:ascii="宋体" w:hAnsi="宋体" w:cs="宋体"/>
          <w:szCs w:val="21"/>
        </w:rPr>
        <w:t>现场考察时间：</w:t>
      </w:r>
      <w:r>
        <w:rPr>
          <w:rFonts w:hint="eastAsia" w:ascii="宋体" w:hAnsi="宋体" w:cs="宋体"/>
          <w:szCs w:val="21"/>
          <w:lang w:val="en-US" w:eastAsia="zh-CN"/>
        </w:rPr>
        <w:t>待通知</w:t>
      </w:r>
      <w:r>
        <w:rPr>
          <w:rFonts w:hint="eastAsia" w:ascii="宋体" w:hAnsi="宋体" w:cs="宋体"/>
          <w:szCs w:val="21"/>
        </w:rPr>
        <w:t>。</w:t>
      </w:r>
    </w:p>
    <w:p>
      <w:pPr>
        <w:snapToGrid w:val="0"/>
        <w:spacing w:line="400" w:lineRule="exact"/>
        <w:ind w:firstLine="420" w:firstLineChars="200"/>
        <w:rPr>
          <w:rFonts w:hint="eastAsia" w:eastAsiaTheme="minorEastAsia"/>
          <w:b/>
          <w:lang w:val="en-US" w:eastAsia="zh-CN"/>
        </w:rPr>
      </w:pPr>
      <w:r>
        <w:rPr>
          <w:rFonts w:hint="eastAsia" w:ascii="宋体" w:hAnsi="宋体" w:cs="宋体"/>
          <w:szCs w:val="21"/>
          <w:lang w:val="en-US" w:eastAsia="zh-CN"/>
        </w:rPr>
        <w:t>（2）考察现场后，根据现场尺寸</w:t>
      </w:r>
      <w:r>
        <w:rPr>
          <w:rFonts w:hint="eastAsia" w:hAnsi="宋体" w:cs="宋体"/>
          <w:bCs/>
          <w:color w:val="auto"/>
          <w:sz w:val="21"/>
          <w:szCs w:val="21"/>
          <w:lang w:val="en-US" w:eastAsia="zh-CN"/>
        </w:rPr>
        <w:t>提供</w:t>
      </w:r>
      <w:r>
        <w:rPr>
          <w:rFonts w:hint="eastAsia"/>
        </w:rPr>
        <w:t>平面布置图</w:t>
      </w:r>
      <w:r>
        <w:rPr>
          <w:rFonts w:hint="eastAsia"/>
          <w:lang w:val="en-US" w:eastAsia="zh-CN"/>
        </w:rPr>
        <w:t>及</w:t>
      </w:r>
      <w:r>
        <w:rPr>
          <w:rFonts w:hint="eastAsia"/>
        </w:rPr>
        <w:t>效果图</w:t>
      </w:r>
      <w:r>
        <w:rPr>
          <w:rFonts w:hint="eastAsia" w:hAnsi="宋体" w:cs="宋体"/>
          <w:bCs/>
          <w:color w:val="auto"/>
          <w:sz w:val="21"/>
          <w:szCs w:val="21"/>
          <w:lang w:val="en-US" w:eastAsia="zh-CN"/>
        </w:rPr>
        <w:t>，设计合理、实用。</w:t>
      </w:r>
    </w:p>
    <w:p>
      <w:pPr>
        <w:pStyle w:val="7"/>
        <w:spacing w:line="400" w:lineRule="exact"/>
        <w:ind w:firstLine="420"/>
        <w:rPr>
          <w:rFonts w:hint="eastAsia" w:hAnsi="宋体"/>
          <w:bCs/>
        </w:rPr>
      </w:pPr>
      <w:r>
        <w:rPr>
          <w:rFonts w:hint="eastAsia" w:hAnsi="宋体"/>
          <w:b/>
          <w:bCs/>
        </w:rPr>
        <w:t>3.售后服务方案分………………………………………………………………………………</w:t>
      </w:r>
      <w:r>
        <w:rPr>
          <w:rFonts w:hint="eastAsia" w:hAnsi="宋体"/>
          <w:b/>
          <w:bCs/>
          <w:lang w:val="en-US" w:eastAsia="zh-CN"/>
        </w:rPr>
        <w:t>9</w:t>
      </w:r>
      <w:r>
        <w:rPr>
          <w:rFonts w:hint="eastAsia" w:hAnsi="宋体"/>
          <w:b/>
          <w:bCs/>
        </w:rPr>
        <w:t>分</w:t>
      </w:r>
    </w:p>
    <w:p>
      <w:pPr>
        <w:spacing w:line="360" w:lineRule="exact"/>
        <w:ind w:firstLine="420" w:firstLineChars="200"/>
        <w:rPr>
          <w:rFonts w:hAnsi="宋体" w:cs="宋体"/>
          <w:color w:val="auto"/>
          <w:szCs w:val="21"/>
        </w:rPr>
      </w:pPr>
      <w:r>
        <w:rPr>
          <w:rFonts w:hint="eastAsia" w:hAnsi="宋体" w:cs="宋体"/>
          <w:color w:val="auto"/>
          <w:szCs w:val="21"/>
        </w:rPr>
        <w:t>根据投标文件中售后服务承诺书内容的完整性、可行性，从响应时间、到达时间、修复时间、从保修期的延长、定期回访、承诺提供本地售后服务点、服务认证，出现质量问题承诺更换时间、评委认可的其它实质性优惠措施。</w:t>
      </w:r>
    </w:p>
    <w:p>
      <w:pPr>
        <w:pStyle w:val="6"/>
        <w:spacing w:line="360" w:lineRule="exact"/>
        <w:ind w:firstLine="420" w:firstLineChars="200"/>
        <w:rPr>
          <w:rFonts w:ascii="宋体" w:hAnsi="宋体" w:cs="宋体"/>
          <w:color w:val="auto"/>
          <w:sz w:val="21"/>
          <w:szCs w:val="21"/>
        </w:rPr>
      </w:pPr>
      <w:r>
        <w:rPr>
          <w:rFonts w:hint="eastAsia" w:ascii="宋体" w:hAnsi="宋体" w:cs="宋体"/>
          <w:color w:val="auto"/>
          <w:sz w:val="21"/>
          <w:szCs w:val="21"/>
        </w:rPr>
        <w:t>一档（</w:t>
      </w:r>
      <w:r>
        <w:rPr>
          <w:rFonts w:hint="eastAsia" w:ascii="宋体" w:hAnsi="宋体" w:cs="宋体"/>
          <w:color w:val="auto"/>
          <w:sz w:val="21"/>
          <w:szCs w:val="21"/>
          <w:lang w:val="en-US" w:eastAsia="zh-CN"/>
        </w:rPr>
        <w:t>1</w:t>
      </w:r>
      <w:r>
        <w:rPr>
          <w:rFonts w:hint="eastAsia" w:ascii="宋体" w:hAnsi="宋体" w:cs="宋体"/>
          <w:color w:val="auto"/>
          <w:sz w:val="21"/>
          <w:szCs w:val="21"/>
        </w:rPr>
        <w:t>分）：售后服务方案内容不全，响应时间不及时或较慢，没有提供备品备件，没有定期回访，无项目实施计划或不适用，现无或无承诺中标后提供本地售后服务点及零配件仓库。</w:t>
      </w:r>
    </w:p>
    <w:p>
      <w:pPr>
        <w:pStyle w:val="6"/>
        <w:spacing w:line="360" w:lineRule="exact"/>
        <w:ind w:firstLine="420" w:firstLineChars="200"/>
        <w:rPr>
          <w:rFonts w:ascii="宋体" w:hAnsi="宋体" w:cs="宋体"/>
          <w:color w:val="auto"/>
          <w:sz w:val="21"/>
          <w:szCs w:val="21"/>
        </w:rPr>
      </w:pPr>
      <w:r>
        <w:rPr>
          <w:rFonts w:hint="eastAsia" w:ascii="宋体" w:hAnsi="宋体" w:cs="宋体"/>
          <w:color w:val="auto"/>
          <w:sz w:val="21"/>
          <w:szCs w:val="21"/>
        </w:rPr>
        <w:t>二档（</w:t>
      </w:r>
      <w:r>
        <w:rPr>
          <w:rFonts w:hint="eastAsia" w:ascii="宋体" w:hAnsi="宋体" w:cs="宋体"/>
          <w:color w:val="auto"/>
          <w:sz w:val="21"/>
          <w:szCs w:val="21"/>
          <w:lang w:val="en-US" w:eastAsia="zh-CN"/>
        </w:rPr>
        <w:t>6</w:t>
      </w:r>
      <w:r>
        <w:rPr>
          <w:rFonts w:hint="eastAsia" w:ascii="宋体" w:hAnsi="宋体" w:cs="宋体"/>
          <w:color w:val="auto"/>
          <w:sz w:val="21"/>
          <w:szCs w:val="21"/>
        </w:rPr>
        <w:t>分）：售后服务方案内容较完整、可行，响应时间，到达时间，备品备件，修复时间，保修期等综合考虑整体良好的，有项目实施计划，现有或承诺中标后提供本地售后服务点及零配件仓库。(如现有，须提供有效证明复印件并加盖投标人公章,同时提供租赁合同原件备查)。</w:t>
      </w:r>
    </w:p>
    <w:p>
      <w:pPr>
        <w:spacing w:line="340" w:lineRule="exact"/>
        <w:ind w:firstLine="420" w:firstLineChars="200"/>
        <w:rPr>
          <w:rFonts w:hAnsi="宋体" w:cs="宋体"/>
          <w:color w:val="auto"/>
          <w:szCs w:val="21"/>
        </w:rPr>
      </w:pPr>
      <w:r>
        <w:rPr>
          <w:rFonts w:hint="eastAsia" w:hAnsi="宋体" w:cs="宋体"/>
          <w:color w:val="auto"/>
          <w:szCs w:val="21"/>
          <w:lang w:val="en-US" w:eastAsia="zh-CN"/>
        </w:rPr>
        <w:t>三</w:t>
      </w:r>
      <w:r>
        <w:rPr>
          <w:rFonts w:hint="eastAsia" w:hAnsi="宋体" w:cs="宋体"/>
          <w:color w:val="auto"/>
          <w:szCs w:val="21"/>
        </w:rPr>
        <w:t>档（</w:t>
      </w:r>
      <w:r>
        <w:rPr>
          <w:rFonts w:hint="eastAsia" w:hAnsi="宋体" w:cs="宋体"/>
          <w:color w:val="auto"/>
          <w:szCs w:val="21"/>
          <w:lang w:val="en-US" w:eastAsia="zh-CN"/>
        </w:rPr>
        <w:t>9</w:t>
      </w:r>
      <w:r>
        <w:rPr>
          <w:rFonts w:hint="eastAsia" w:hAnsi="宋体" w:cs="宋体"/>
          <w:color w:val="auto"/>
          <w:szCs w:val="21"/>
        </w:rPr>
        <w:t>分）：在满足</w:t>
      </w:r>
      <w:r>
        <w:rPr>
          <w:rFonts w:hint="eastAsia" w:hAnsi="宋体" w:cs="宋体"/>
          <w:color w:val="auto"/>
          <w:szCs w:val="21"/>
          <w:lang w:val="en-US" w:eastAsia="zh-CN"/>
        </w:rPr>
        <w:t>二</w:t>
      </w:r>
      <w:r>
        <w:rPr>
          <w:rFonts w:hint="eastAsia" w:hAnsi="宋体" w:cs="宋体"/>
          <w:color w:val="auto"/>
          <w:szCs w:val="21"/>
        </w:rPr>
        <w:t>档要求，有完善的本地化售后服务措施；对售后服务专用车辆、应急预案、其他优惠措施等方面都有详尽的描述。</w:t>
      </w:r>
    </w:p>
    <w:p>
      <w:pPr>
        <w:pStyle w:val="7"/>
        <w:spacing w:line="400" w:lineRule="exact"/>
        <w:ind w:firstLine="538" w:firstLineChars="255"/>
        <w:rPr>
          <w:rFonts w:hint="eastAsia" w:hAnsi="宋体"/>
          <w:b/>
        </w:rPr>
      </w:pPr>
      <w:r>
        <w:rPr>
          <w:rFonts w:hint="eastAsia" w:hAnsi="宋体"/>
          <w:b/>
        </w:rPr>
        <w:t>6.综合得分＝1+2+3</w:t>
      </w:r>
    </w:p>
    <w:p>
      <w:pPr>
        <w:pStyle w:val="7"/>
        <w:tabs>
          <w:tab w:val="left" w:pos="4214"/>
        </w:tabs>
        <w:spacing w:line="400" w:lineRule="exact"/>
        <w:ind w:firstLine="422" w:firstLineChars="200"/>
        <w:rPr>
          <w:rFonts w:hint="eastAsia" w:hAnsi="宋体"/>
          <w:b/>
        </w:rPr>
      </w:pPr>
      <w:r>
        <w:rPr>
          <w:rFonts w:hint="eastAsia" w:hAnsi="宋体"/>
          <w:b/>
        </w:rPr>
        <w:t>三、推荐及确定中标候选人原则</w:t>
      </w:r>
    </w:p>
    <w:p>
      <w:pPr>
        <w:pStyle w:val="7"/>
        <w:tabs>
          <w:tab w:val="left" w:pos="4214"/>
        </w:tabs>
        <w:spacing w:line="400" w:lineRule="exact"/>
        <w:ind w:firstLine="420" w:firstLineChars="200"/>
        <w:rPr>
          <w:rFonts w:hint="eastAsia" w:hAnsi="宋体" w:cs="宋体"/>
          <w:kern w:val="0"/>
        </w:rPr>
      </w:pPr>
      <w:r>
        <w:rPr>
          <w:rFonts w:hint="eastAsia" w:hAnsi="宋体"/>
          <w:szCs w:val="21"/>
        </w:rPr>
        <w:t>（1）评标委员会根据综合得分由高到低排列次序，若得分相同时，按</w:t>
      </w:r>
      <w:r>
        <w:rPr>
          <w:rFonts w:hint="eastAsia"/>
        </w:rPr>
        <w:t>投标报价</w:t>
      </w:r>
      <w:r>
        <w:rPr>
          <w:rFonts w:hint="eastAsia" w:hAnsi="宋体"/>
          <w:szCs w:val="21"/>
        </w:rPr>
        <w:t>由低到高顺序排列；得分相同且</w:t>
      </w:r>
      <w:r>
        <w:rPr>
          <w:rFonts w:hint="eastAsia"/>
        </w:rPr>
        <w:t>投标报价</w:t>
      </w:r>
      <w:r>
        <w:rPr>
          <w:rFonts w:hint="eastAsia" w:hAnsi="宋体"/>
          <w:szCs w:val="21"/>
        </w:rPr>
        <w:t>也相同的由评标委员会按照抽签的方式决定排列次序</w:t>
      </w:r>
      <w:r>
        <w:rPr>
          <w:rFonts w:hint="eastAsia" w:ascii="Arial" w:hAnsi="Arial" w:cs="Arial"/>
          <w:sz w:val="22"/>
          <w:szCs w:val="22"/>
        </w:rPr>
        <w:t>。</w:t>
      </w:r>
    </w:p>
    <w:p>
      <w:pPr>
        <w:pStyle w:val="7"/>
        <w:tabs>
          <w:tab w:val="left" w:pos="4214"/>
        </w:tabs>
        <w:spacing w:line="400" w:lineRule="exact"/>
        <w:ind w:firstLine="420" w:firstLineChars="200"/>
        <w:rPr>
          <w:rFonts w:hint="eastAsia" w:hAnsi="宋体"/>
          <w:szCs w:val="21"/>
        </w:rPr>
      </w:pPr>
      <w:r>
        <w:rPr>
          <w:rFonts w:hint="eastAsia" w:hAnsi="宋体"/>
          <w:szCs w:val="21"/>
        </w:rPr>
        <w:t>（2）</w:t>
      </w:r>
      <w:r>
        <w:t>投标文件满足招标文件全部实质性要求，且按照评审因素的量化指标评审得分最高的投标人为排名第一的中标候选人。</w:t>
      </w:r>
    </w:p>
    <w:p>
      <w:pPr>
        <w:pStyle w:val="7"/>
        <w:tabs>
          <w:tab w:val="left" w:pos="4214"/>
        </w:tabs>
        <w:spacing w:line="400" w:lineRule="exact"/>
        <w:ind w:firstLine="420" w:firstLineChars="200"/>
        <w:rPr>
          <w:rFonts w:hint="eastAsia" w:hAnsi="宋体"/>
          <w:szCs w:val="21"/>
        </w:rPr>
      </w:pPr>
      <w:r>
        <w:rPr>
          <w:rFonts w:hint="eastAsia" w:hAnsi="宋体"/>
          <w:szCs w:val="21"/>
        </w:rPr>
        <w:t>（3）排名第一的中标候选人放弃中标、因不可抗力提出不能履行合同，或因失信行为被取消中标候选人资格的，采购人可以确定排名第二的中标候选人为中标人，并依此类推。</w:t>
      </w:r>
    </w:p>
    <w:p>
      <w:pPr>
        <w:rPr>
          <w:rFonts w:hint="default"/>
          <w:lang w:val="en-US" w:eastAsia="zh-CN"/>
        </w:rPr>
        <w:sectPr>
          <w:footerReference r:id="rId3" w:type="default"/>
          <w:pgSz w:w="16838" w:h="11906" w:orient="landscape"/>
          <w:pgMar w:top="850" w:right="1134" w:bottom="850" w:left="1134" w:header="851" w:footer="992" w:gutter="0"/>
          <w:pgBorders>
            <w:top w:val="none" w:sz="0" w:space="0"/>
            <w:left w:val="none" w:sz="0" w:space="0"/>
            <w:bottom w:val="none" w:sz="0" w:space="0"/>
            <w:right w:val="none" w:sz="0" w:space="0"/>
          </w:pgBorders>
          <w:cols w:space="0" w:num="1"/>
          <w:rtlGutter w:val="0"/>
          <w:docGrid w:type="lines" w:linePitch="312" w:charSpace="0"/>
        </w:sectPr>
      </w:pPr>
    </w:p>
    <w:tbl>
      <w:tblPr>
        <w:tblW w:w="105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21"/>
        <w:gridCol w:w="1758"/>
        <w:gridCol w:w="3443"/>
        <w:gridCol w:w="2329"/>
        <w:gridCol w:w="2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10545" w:type="dxa"/>
            <w:gridSpan w:val="5"/>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8280" w:type="dxa"/>
            <w:gridSpan w:val="4"/>
            <w:tcBorders>
              <w:top w:val="single" w:color="000000" w:sz="4" w:space="0"/>
              <w:left w:val="single" w:color="000000" w:sz="4" w:space="0"/>
              <w:bottom w:val="single" w:color="000000" w:sz="4" w:space="0"/>
              <w:right w:val="single" w:color="000000" w:sz="4" w:space="0"/>
            </w:tcBorders>
            <w:shd w:val="clear" w:color="auto" w:fill="B7DEE8"/>
            <w:vAlign w:val="center"/>
          </w:tcPr>
          <w:p>
            <w:pPr>
              <w:keepNext w:val="0"/>
              <w:keepLines w:val="0"/>
              <w:widowControl/>
              <w:suppressLineNumbers w:val="0"/>
              <w:jc w:val="center"/>
              <w:textAlignment w:val="center"/>
              <w:rPr>
                <w:rFonts w:hint="eastAsia" w:ascii="宋体" w:hAnsi="宋体" w:eastAsia="宋体" w:cs="宋体"/>
                <w:b/>
                <w:bCs/>
                <w:i w:val="0"/>
                <w:iCs w:val="0"/>
                <w:color w:val="00B050"/>
                <w:sz w:val="26"/>
                <w:szCs w:val="26"/>
                <w:u w:val="none"/>
              </w:rPr>
            </w:pPr>
            <w:r>
              <w:rPr>
                <w:rFonts w:hint="eastAsia" w:ascii="宋体" w:hAnsi="宋体" w:eastAsia="宋体" w:cs="宋体"/>
                <w:b/>
                <w:bCs/>
                <w:i w:val="0"/>
                <w:iCs w:val="0"/>
                <w:color w:val="00B050"/>
                <w:kern w:val="0"/>
                <w:sz w:val="26"/>
                <w:szCs w:val="26"/>
                <w:u w:val="none"/>
                <w:bdr w:val="none" w:color="auto" w:sz="0" w:space="0"/>
                <w:lang w:val="en-US" w:eastAsia="zh-CN" w:bidi="ar"/>
              </w:rPr>
              <w:t xml:space="preserve">一、投标报价分（50分）                                        </w:t>
            </w:r>
            <w:bookmarkStart w:id="0" w:name="_GoBack"/>
            <w:bookmarkEnd w:id="0"/>
            <w:r>
              <w:rPr>
                <w:rStyle w:val="14"/>
                <w:bdr w:val="none" w:color="auto" w:sz="0" w:space="0"/>
                <w:lang w:val="en-US" w:eastAsia="zh-CN" w:bidi="ar"/>
              </w:rPr>
              <w:t>某投标人价格分 = 投标人最低评标价（金额）/某投标人评标价（金额）×50分</w:t>
            </w:r>
            <w:r>
              <w:rPr>
                <w:rStyle w:val="15"/>
                <w:bdr w:val="none" w:color="auto" w:sz="0" w:space="0"/>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实际得分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8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报价分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投标总金额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换算得分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B7DEE8"/>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bdr w:val="none" w:color="auto" w:sz="0" w:space="0"/>
                <w:lang w:val="en-US" w:eastAsia="zh-CN" w:bidi="ar"/>
              </w:rPr>
              <w:t>二、质量保障分（41分）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二（1）、产品检验（检测）分（满分12分、每分项全部满足得3分）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检验内容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是否满足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实际得分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8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（主席台）    木制桌背板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含水率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胶合强度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甲醛释放量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8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（主席台）    木制桌层板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含水率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胶合强度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甲醛释放量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8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（主席台）     木制桌脚侧立板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含水率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胶合强度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甲醛释放量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8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（主席台）     木制桌面板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含水率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胶合强度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甲醛释放量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bdr w:val="none" w:color="auto" w:sz="0" w:space="0"/>
                <w:lang w:val="en-US" w:eastAsia="zh-CN" w:bidi="ar"/>
              </w:rPr>
              <w:t>二（2）、样品分（25分）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服务内容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是否满足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实际得分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1</w:t>
            </w:r>
          </w:p>
        </w:tc>
        <w:tc>
          <w:tcPr>
            <w:tcW w:w="18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1、（主席台）木 制桌            2、主席椅</w:t>
            </w:r>
          </w:p>
        </w:tc>
        <w:tc>
          <w:tcPr>
            <w:tcW w:w="33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一档（5分）</w:t>
            </w:r>
            <w:r>
              <w:rPr>
                <w:rStyle w:val="16"/>
                <w:bdr w:val="none" w:color="auto" w:sz="0" w:space="0"/>
                <w:lang w:val="en-US" w:eastAsia="zh-CN" w:bidi="ar"/>
              </w:rPr>
              <w:t xml:space="preserve">                     表面不平整，工艺制作粗糙、不牢固，材料用料劣质、有明显刺鼻异味；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1"/>
                <w:szCs w:val="21"/>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 xml:space="preserve">二档（15分） </w:t>
            </w:r>
            <w:r>
              <w:rPr>
                <w:rStyle w:val="16"/>
                <w:bdr w:val="none" w:color="auto" w:sz="0" w:space="0"/>
                <w:lang w:val="en-US" w:eastAsia="zh-CN" w:bidi="ar"/>
              </w:rPr>
              <w:t xml:space="preserve">                 表面基本平整，工艺制作一般、有一定的牢固性及安全性，材料用料一般，有轻微刺鼻异味；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1"/>
                <w:szCs w:val="21"/>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33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三档（25分）</w:t>
            </w:r>
            <w:r>
              <w:rPr>
                <w:rStyle w:val="16"/>
                <w:bdr w:val="none" w:color="auto" w:sz="0" w:space="0"/>
                <w:lang w:val="en-US" w:eastAsia="zh-CN" w:bidi="ar"/>
              </w:rPr>
              <w:t xml:space="preserve">                  表面平整，工艺制作精细、结实、牢固安全，材料用料优质、厚实无刺鼻异味，美观实用。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1"/>
                <w:szCs w:val="21"/>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780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注：未按要求递交或未完整递交实物样品的不予得分。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二（3）、设计分（4分）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服务内容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是否满足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实际得分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设计分</w:t>
            </w:r>
          </w:p>
        </w:tc>
        <w:tc>
          <w:tcPr>
            <w:tcW w:w="33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是否提供平面布置图及效果图。  按设计合理性、实用性、综合打分，满分4分。</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545" w:type="dxa"/>
            <w:gridSpan w:val="5"/>
            <w:tcBorders>
              <w:top w:val="single" w:color="000000" w:sz="4" w:space="0"/>
              <w:left w:val="single" w:color="000000" w:sz="4" w:space="0"/>
              <w:bottom w:val="single" w:color="000000" w:sz="4" w:space="0"/>
              <w:right w:val="single" w:color="000000" w:sz="4" w:space="0"/>
            </w:tcBorders>
            <w:shd w:val="clear" w:color="auto" w:fill="B7DEE8"/>
            <w:vAlign w:val="center"/>
          </w:tcPr>
          <w:p>
            <w:pPr>
              <w:keepNext w:val="0"/>
              <w:keepLines w:val="0"/>
              <w:widowControl/>
              <w:suppressLineNumbers w:val="0"/>
              <w:jc w:val="center"/>
              <w:textAlignment w:val="center"/>
              <w:rPr>
                <w:rFonts w:hint="eastAsia" w:ascii="宋体" w:hAnsi="宋体" w:eastAsia="宋体" w:cs="宋体"/>
                <w:i w:val="0"/>
                <w:iCs w:val="0"/>
                <w:color w:val="000000"/>
                <w:sz w:val="26"/>
                <w:szCs w:val="26"/>
                <w:u w:val="none"/>
              </w:rPr>
            </w:pPr>
            <w:r>
              <w:rPr>
                <w:rFonts w:hint="eastAsia" w:ascii="宋体" w:hAnsi="宋体" w:eastAsia="宋体" w:cs="宋体"/>
                <w:i w:val="0"/>
                <w:iCs w:val="0"/>
                <w:color w:val="000000"/>
                <w:kern w:val="0"/>
                <w:sz w:val="26"/>
                <w:szCs w:val="26"/>
                <w:u w:val="none"/>
                <w:bdr w:val="none" w:color="auto" w:sz="0" w:space="0"/>
                <w:lang w:val="en-US" w:eastAsia="zh-CN" w:bidi="ar"/>
              </w:rPr>
              <w:t>三、售后服务分（9分）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w:t>
            </w:r>
          </w:p>
        </w:tc>
        <w:tc>
          <w:tcPr>
            <w:tcW w:w="18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服务内容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是否满足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实际得分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8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售后服务方案   （满分9分）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一档（3分）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二档（6分）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81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三档（9分）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5"/>
            <w:vMerge w:val="restart"/>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总得分=1（报价分） + 2（质量保障分） + 3（售后服务分）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5"/>
            <w:vMerge w:val="continue"/>
            <w:tcBorders>
              <w:top w:val="nil"/>
              <w:left w:val="nil"/>
              <w:bottom w:val="nil"/>
              <w:right w:val="nil"/>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bdr w:val="none" w:color="auto" w:sz="0" w:space="0"/>
                <w:lang w:val="en-US" w:eastAsia="zh-CN" w:bidi="ar"/>
              </w:rPr>
              <w:t>实际得分：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bl>
    <w:p>
      <w:pPr>
        <w:pStyle w:val="2"/>
        <w:rPr>
          <w:rFonts w:hint="default"/>
          <w:lang w:val="en-US" w:eastAsia="zh-CN"/>
        </w:rPr>
      </w:pPr>
    </w:p>
    <w:sectPr>
      <w:pgSz w:w="11906" w:h="16838"/>
      <w:pgMar w:top="1134" w:right="850" w:bottom="1134" w:left="850"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-994410</wp:posOffset>
              </wp:positionH>
              <wp:positionV relativeFrom="paragraph">
                <wp:posOffset>101600</wp:posOffset>
              </wp:positionV>
              <wp:extent cx="8430895" cy="379095"/>
              <wp:effectExtent l="0" t="0" r="0" b="0"/>
              <wp:wrapNone/>
              <wp:docPr id="28" name="文本框 27"/>
              <wp:cNvGraphicFramePr/>
              <a:graphic xmlns:a="http://schemas.openxmlformats.org/drawingml/2006/main">
                <a:graphicData uri="http://schemas.microsoft.com/office/word/2010/wordprocessingShape">
                  <wps:wsp>
                    <wps:cNvSpPr txBox="1"/>
                    <wps:spPr>
                      <a:xfrm>
                        <a:off x="-537210" y="6892290"/>
                        <a:ext cx="8430895" cy="379095"/>
                      </a:xfrm>
                      <a:prstGeom prst="rect">
                        <a:avLst/>
                      </a:prstGeom>
                      <a:noFill/>
                    </wps:spPr>
                    <wps:txbx>
                      <w:txbxContent>
                        <w:p>
                          <w:pPr>
                            <w:pStyle w:val="10"/>
                            <w:keepNext w:val="0"/>
                            <w:keepLines w:val="0"/>
                            <w:pageBreakBefore w:val="0"/>
                            <w:widowControl w:val="0"/>
                            <w:kinsoku/>
                            <w:wordWrap/>
                            <w:overflowPunct/>
                            <w:topLinePunct w:val="0"/>
                            <w:autoSpaceDE/>
                            <w:autoSpaceDN/>
                            <w:bidi w:val="0"/>
                            <w:adjustRightInd/>
                            <w:snapToGrid/>
                            <w:spacing w:line="240" w:lineRule="auto"/>
                            <w:ind w:left="0"/>
                            <w:jc w:val="left"/>
                            <w:textAlignment w:val="auto"/>
                          </w:pPr>
                          <w:r>
                            <w:rPr>
                              <w:rFonts w:asciiTheme="minorAscii" w:hAnsiTheme="minorBidi" w:eastAsiaTheme="minorEastAsia"/>
                              <w:color w:val="000000" w:themeColor="text1"/>
                              <w:kern w:val="24"/>
                              <w:sz w:val="18"/>
                              <w:szCs w:val="18"/>
                              <w14:textFill>
                                <w14:solidFill>
                                  <w14:schemeClr w14:val="tx1"/>
                                </w14:solidFill>
                              </w14:textFill>
                            </w:rPr>
                            <w:t>努</w:t>
                          </w:r>
                        </w:p>
                      </w:txbxContent>
                    </wps:txbx>
                    <wps:bodyPr vert="horz" wrap="square" rtlCol="0">
                      <a:spAutoFit/>
                    </wps:bodyPr>
                  </wps:wsp>
                </a:graphicData>
              </a:graphic>
            </wp:anchor>
          </w:drawing>
        </mc:Choice>
        <mc:Fallback>
          <w:pict>
            <v:shape id="文本框 27" o:spid="_x0000_s1026" o:spt="202" type="#_x0000_t202" style="position:absolute;left:0pt;margin-left:-78.3pt;margin-top:8pt;height:29.85pt;width:663.85pt;z-index:251659264;mso-width-relative:page;mso-height-relative:page;" filled="f" stroked="f" coordsize="21600,21600" o:gfxdata="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9jOB1wAAAAsBAAAPAAAAAAAAAAEAIAAAACIA&#10;AABkcnMvZG93bnJldi54bWxQSwECFAAUAAAACACHTuJA0ctv+9EBAAB3AwAADgAAAAAAAAABACAA&#10;AAAmAQAAZHJzL2Uyb0RvYy54bWxQSwUGAAAAAAYABgBZAQAAaQUAAAAA&#10;">
              <v:fill on="f" focussize="0,0"/>
              <v:stroke on="f"/>
              <v:imagedata o:title=""/>
              <o:lock v:ext="edit" aspectratio="f"/>
              <v:textbox style="mso-fit-shape-to-text:t;">
                <w:txbxContent>
                  <w:p>
                    <w:pPr>
                      <w:pStyle w:val="10"/>
                      <w:keepNext w:val="0"/>
                      <w:keepLines w:val="0"/>
                      <w:pageBreakBefore w:val="0"/>
                      <w:widowControl w:val="0"/>
                      <w:kinsoku/>
                      <w:wordWrap/>
                      <w:overflowPunct/>
                      <w:topLinePunct w:val="0"/>
                      <w:autoSpaceDE/>
                      <w:autoSpaceDN/>
                      <w:bidi w:val="0"/>
                      <w:adjustRightInd/>
                      <w:snapToGrid/>
                      <w:spacing w:line="240" w:lineRule="auto"/>
                      <w:ind w:left="0"/>
                      <w:jc w:val="left"/>
                      <w:textAlignment w:val="auto"/>
                    </w:pPr>
                    <w:r>
                      <w:rPr>
                        <w:rFonts w:asciiTheme="minorAscii" w:hAnsiTheme="minorBidi" w:eastAsiaTheme="minorEastAsia"/>
                        <w:color w:val="000000" w:themeColor="text1"/>
                        <w:kern w:val="24"/>
                        <w:sz w:val="18"/>
                        <w:szCs w:val="18"/>
                        <w14:textFill>
                          <w14:solidFill>
                            <w14:schemeClr w14:val="tx1"/>
                          </w14:solidFill>
                        </w14:textFill>
                      </w:rPr>
                      <w:t>努</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wOTM2ZjYwOTg2YmU2NGE3NDY3NzRlNzdkNjQwNjMifQ=="/>
  </w:docVars>
  <w:rsids>
    <w:rsidRoot w:val="00000000"/>
    <w:rsid w:val="03B32BC3"/>
    <w:rsid w:val="05627F10"/>
    <w:rsid w:val="05D71AC7"/>
    <w:rsid w:val="063127B9"/>
    <w:rsid w:val="068C0000"/>
    <w:rsid w:val="071E213B"/>
    <w:rsid w:val="0B320D94"/>
    <w:rsid w:val="0C760B97"/>
    <w:rsid w:val="11B232FE"/>
    <w:rsid w:val="121E2752"/>
    <w:rsid w:val="132A00C9"/>
    <w:rsid w:val="150D619F"/>
    <w:rsid w:val="15246C14"/>
    <w:rsid w:val="15B10CA8"/>
    <w:rsid w:val="17FF6273"/>
    <w:rsid w:val="18550589"/>
    <w:rsid w:val="19460356"/>
    <w:rsid w:val="1A13035A"/>
    <w:rsid w:val="1A421DB2"/>
    <w:rsid w:val="1AD23898"/>
    <w:rsid w:val="1DE972FF"/>
    <w:rsid w:val="1EEA0711"/>
    <w:rsid w:val="216D4A04"/>
    <w:rsid w:val="22E91835"/>
    <w:rsid w:val="250D0E48"/>
    <w:rsid w:val="277814B7"/>
    <w:rsid w:val="27F82CDF"/>
    <w:rsid w:val="28603113"/>
    <w:rsid w:val="2A151C71"/>
    <w:rsid w:val="2B053749"/>
    <w:rsid w:val="2B6C384F"/>
    <w:rsid w:val="2D206871"/>
    <w:rsid w:val="2D9B072D"/>
    <w:rsid w:val="2DF04EFF"/>
    <w:rsid w:val="2EB02BEA"/>
    <w:rsid w:val="2EB966C3"/>
    <w:rsid w:val="2FFF43BA"/>
    <w:rsid w:val="30C72BA8"/>
    <w:rsid w:val="31B91150"/>
    <w:rsid w:val="333252F7"/>
    <w:rsid w:val="34024C7C"/>
    <w:rsid w:val="366C3C9E"/>
    <w:rsid w:val="370352C5"/>
    <w:rsid w:val="37E8067A"/>
    <w:rsid w:val="38056EDD"/>
    <w:rsid w:val="39643D30"/>
    <w:rsid w:val="39737220"/>
    <w:rsid w:val="3B64626A"/>
    <w:rsid w:val="3D93136E"/>
    <w:rsid w:val="3DBF0B75"/>
    <w:rsid w:val="3E3E3568"/>
    <w:rsid w:val="3EFB45AC"/>
    <w:rsid w:val="47BF1103"/>
    <w:rsid w:val="49763D37"/>
    <w:rsid w:val="49D83A04"/>
    <w:rsid w:val="4A31510E"/>
    <w:rsid w:val="4A9B76D8"/>
    <w:rsid w:val="4AC71CFF"/>
    <w:rsid w:val="4B49791C"/>
    <w:rsid w:val="4B7F6C0A"/>
    <w:rsid w:val="4C2018BC"/>
    <w:rsid w:val="4CD465AB"/>
    <w:rsid w:val="4E17716C"/>
    <w:rsid w:val="5242543E"/>
    <w:rsid w:val="53E276E4"/>
    <w:rsid w:val="548F16C5"/>
    <w:rsid w:val="54B40747"/>
    <w:rsid w:val="574A0E85"/>
    <w:rsid w:val="579C7BFF"/>
    <w:rsid w:val="581D20BA"/>
    <w:rsid w:val="58396180"/>
    <w:rsid w:val="58C20339"/>
    <w:rsid w:val="5A680B7A"/>
    <w:rsid w:val="5AAD71E9"/>
    <w:rsid w:val="5D0C08CB"/>
    <w:rsid w:val="5D263E01"/>
    <w:rsid w:val="5D2F1BE8"/>
    <w:rsid w:val="61427337"/>
    <w:rsid w:val="63337393"/>
    <w:rsid w:val="65AF62ED"/>
    <w:rsid w:val="682E0E0B"/>
    <w:rsid w:val="69B45116"/>
    <w:rsid w:val="6AD45ACF"/>
    <w:rsid w:val="6BFC613F"/>
    <w:rsid w:val="6D5D5B51"/>
    <w:rsid w:val="6E274D51"/>
    <w:rsid w:val="6E315E98"/>
    <w:rsid w:val="6FDC220F"/>
    <w:rsid w:val="70980188"/>
    <w:rsid w:val="71337F68"/>
    <w:rsid w:val="72781A13"/>
    <w:rsid w:val="732E604C"/>
    <w:rsid w:val="737038AD"/>
    <w:rsid w:val="73A609C6"/>
    <w:rsid w:val="7A105168"/>
    <w:rsid w:val="7A170370"/>
    <w:rsid w:val="7BA533B0"/>
    <w:rsid w:val="7D075950"/>
    <w:rsid w:val="7D292894"/>
    <w:rsid w:val="7DF24F98"/>
    <w:rsid w:val="7F4A0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keepNext/>
      <w:keepLines/>
      <w:spacing w:before="260" w:after="260" w:line="240" w:lineRule="auto"/>
      <w:outlineLvl w:val="1"/>
    </w:pPr>
    <w:rPr>
      <w:rFonts w:ascii="Arial" w:hAnsi="Arial" w:eastAsia="宋体" w:cs="Times New Roman"/>
      <w:b/>
      <w:bCs/>
      <w:color w:val="000000"/>
      <w:sz w:val="28"/>
      <w:szCs w:val="32"/>
      <w:shd w:val="clear" w:color="auto" w:fill="auto"/>
      <w:lang w:eastAsia="en-US" w:bidi="en-US"/>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spacing w:line="400" w:lineRule="exact"/>
      <w:ind w:firstLine="480" w:firstLineChars="200"/>
      <w:jc w:val="left"/>
    </w:pPr>
    <w:rPr>
      <w:lang w:val="zh-CN"/>
    </w:rPr>
  </w:style>
  <w:style w:type="paragraph" w:styleId="5">
    <w:name w:val="index 8"/>
    <w:basedOn w:val="1"/>
    <w:next w:val="1"/>
    <w:qFormat/>
    <w:uiPriority w:val="0"/>
    <w:pPr>
      <w:spacing w:line="400" w:lineRule="exact"/>
      <w:ind w:left="2940" w:firstLine="1044" w:firstLineChars="200"/>
      <w:jc w:val="left"/>
    </w:pPr>
  </w:style>
  <w:style w:type="paragraph" w:styleId="6">
    <w:name w:val="annotation text"/>
    <w:basedOn w:val="1"/>
    <w:qFormat/>
    <w:uiPriority w:val="0"/>
    <w:pPr>
      <w:adjustRightInd w:val="0"/>
      <w:spacing w:line="360" w:lineRule="atLeast"/>
      <w:jc w:val="left"/>
      <w:textAlignment w:val="baseline"/>
    </w:pPr>
    <w:rPr>
      <w:kern w:val="0"/>
      <w:sz w:val="24"/>
      <w:szCs w:val="20"/>
    </w:rPr>
  </w:style>
  <w:style w:type="paragraph" w:styleId="7">
    <w:name w:val="Plain Text"/>
    <w:basedOn w:val="1"/>
    <w:next w:val="5"/>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rPr>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font71"/>
    <w:basedOn w:val="13"/>
    <w:uiPriority w:val="0"/>
    <w:rPr>
      <w:rFonts w:hint="eastAsia" w:ascii="宋体" w:hAnsi="宋体" w:eastAsia="宋体" w:cs="宋体"/>
      <w:b/>
      <w:bCs/>
      <w:color w:val="000000"/>
      <w:sz w:val="21"/>
      <w:szCs w:val="21"/>
      <w:u w:val="none"/>
    </w:rPr>
  </w:style>
  <w:style w:type="character" w:customStyle="1" w:styleId="15">
    <w:name w:val="font101"/>
    <w:basedOn w:val="13"/>
    <w:uiPriority w:val="0"/>
    <w:rPr>
      <w:rFonts w:hint="eastAsia" w:ascii="宋体" w:hAnsi="宋体" w:eastAsia="宋体" w:cs="宋体"/>
      <w:b/>
      <w:bCs/>
      <w:color w:val="00B050"/>
      <w:sz w:val="21"/>
      <w:szCs w:val="21"/>
      <w:u w:val="none"/>
    </w:rPr>
  </w:style>
  <w:style w:type="character" w:customStyle="1" w:styleId="16">
    <w:name w:val="font11"/>
    <w:basedOn w:val="13"/>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3029</Words>
  <Characters>3426</Characters>
  <Lines>0</Lines>
  <Paragraphs>0</Paragraphs>
  <TotalTime>11</TotalTime>
  <ScaleCrop>false</ScaleCrop>
  <LinksUpToDate>false</LinksUpToDate>
  <CharactersWithSpaces>3522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办公家具-唐/S</cp:lastModifiedBy>
  <dcterms:modified xsi:type="dcterms:W3CDTF">2023-05-31T08:16:29Z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FCF6A86DBA6049F099960EA07C7AEB91</vt:lpwstr>
  </property>
</Properties>
</file>