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spacing w:line="288" w:lineRule="auto"/>
        <w:ind w:firstLine="602" w:firstLineChars="250"/>
        <w:rPr>
          <w:rFonts w:asciiTheme="minorEastAsia" w:hAnsiTheme="minorEastAsia"/>
          <w:b/>
          <w:bCs/>
          <w:sz w:val="24"/>
        </w:rPr>
      </w:pPr>
      <w:r>
        <w:rPr>
          <w:rFonts w:hint="eastAsia" w:ascii="宋体" w:hAnsi="宋体" w:cs="宋体"/>
          <w:b/>
          <w:bCs/>
          <w:sz w:val="24"/>
          <w:lang w:val="en-US" w:eastAsia="zh-CN"/>
        </w:rPr>
        <w:t>一</w:t>
      </w:r>
      <w:r>
        <w:rPr>
          <w:rFonts w:hint="eastAsia" w:ascii="宋体" w:hAnsi="宋体" w:cs="宋体"/>
          <w:b/>
          <w:bCs/>
          <w:sz w:val="24"/>
        </w:rPr>
        <w:t>、</w:t>
      </w:r>
      <w:r>
        <w:rPr>
          <w:rFonts w:hint="eastAsia" w:asciiTheme="minorEastAsia" w:hAnsiTheme="minorEastAsia"/>
          <w:b/>
          <w:bCs/>
          <w:sz w:val="24"/>
        </w:rPr>
        <w:t>基本参数及需求数量（Ａ标）</w:t>
      </w:r>
    </w:p>
    <w:p>
      <w:pPr>
        <w:pStyle w:val="2"/>
      </w:pPr>
    </w:p>
    <w:tbl>
      <w:tblPr>
        <w:tblStyle w:val="15"/>
        <w:tblW w:w="14973"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14"/>
        <w:gridCol w:w="2522"/>
        <w:gridCol w:w="1828"/>
        <w:gridCol w:w="777"/>
        <w:gridCol w:w="859"/>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00"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214" w:type="dxa"/>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522" w:type="dxa"/>
            <w:vAlign w:val="center"/>
          </w:tcPr>
          <w:p>
            <w:pPr>
              <w:jc w:val="center"/>
              <w:rPr>
                <w:rFonts w:ascii="宋体" w:hAnsi="宋体" w:eastAsia="宋体" w:cs="宋体"/>
                <w:szCs w:val="21"/>
              </w:rPr>
            </w:pPr>
            <w:r>
              <w:rPr>
                <w:rFonts w:hint="eastAsia" w:ascii="宋体" w:hAnsi="宋体" w:eastAsia="宋体" w:cs="宋体"/>
                <w:szCs w:val="21"/>
              </w:rPr>
              <w:t>参考图片</w:t>
            </w:r>
          </w:p>
        </w:tc>
        <w:tc>
          <w:tcPr>
            <w:tcW w:w="1828" w:type="dxa"/>
            <w:vAlign w:val="center"/>
          </w:tcPr>
          <w:p>
            <w:pPr>
              <w:jc w:val="center"/>
              <w:rPr>
                <w:rFonts w:ascii="宋体" w:hAnsi="宋体" w:eastAsia="宋体" w:cs="宋体"/>
                <w:szCs w:val="21"/>
              </w:rPr>
            </w:pPr>
            <w:r>
              <w:rPr>
                <w:rFonts w:hint="eastAsia" w:ascii="宋体" w:hAnsi="宋体" w:eastAsia="宋体" w:cs="宋体"/>
                <w:szCs w:val="21"/>
              </w:rPr>
              <w:t>规格（毫米）</w:t>
            </w:r>
          </w:p>
          <w:p>
            <w:pPr>
              <w:jc w:val="center"/>
              <w:rPr>
                <w:rFonts w:ascii="宋体" w:hAnsi="宋体" w:eastAsia="宋体" w:cs="宋体"/>
                <w:szCs w:val="21"/>
              </w:rPr>
            </w:pPr>
            <w:r>
              <w:rPr>
                <w:rFonts w:hint="eastAsia" w:ascii="宋体" w:hAnsi="宋体" w:eastAsia="宋体" w:cs="宋体"/>
                <w:szCs w:val="21"/>
              </w:rPr>
              <w:t>长W*宽D*高H</w:t>
            </w:r>
          </w:p>
        </w:tc>
        <w:tc>
          <w:tcPr>
            <w:tcW w:w="777"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单位</w:t>
            </w:r>
          </w:p>
        </w:tc>
        <w:tc>
          <w:tcPr>
            <w:tcW w:w="859"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7173"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技术指标及材质说明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1</w:t>
            </w:r>
          </w:p>
        </w:tc>
        <w:tc>
          <w:tcPr>
            <w:tcW w:w="121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三人位成人输液椅</w:t>
            </w:r>
          </w:p>
        </w:tc>
        <w:tc>
          <w:tcPr>
            <w:tcW w:w="2522"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1460500" cy="918210"/>
                  <wp:effectExtent l="0" t="0" r="6350" b="15240"/>
                  <wp:docPr id="3" name="图片 3" descr="74d432be5adb25aef3acd59fb50f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4d432be5adb25aef3acd59fb50f638"/>
                          <pic:cNvPicPr>
                            <a:picLocks noChangeAspect="1"/>
                          </pic:cNvPicPr>
                        </pic:nvPicPr>
                        <pic:blipFill>
                          <a:blip r:embed="rId5"/>
                          <a:stretch>
                            <a:fillRect/>
                          </a:stretch>
                        </pic:blipFill>
                        <pic:spPr>
                          <a:xfrm>
                            <a:off x="0" y="0"/>
                            <a:ext cx="1460500" cy="918210"/>
                          </a:xfrm>
                          <a:prstGeom prst="rect">
                            <a:avLst/>
                          </a:prstGeom>
                        </pic:spPr>
                      </pic:pic>
                    </a:graphicData>
                  </a:graphic>
                </wp:inline>
              </w:drawing>
            </w:r>
          </w:p>
        </w:tc>
        <w:tc>
          <w:tcPr>
            <w:tcW w:w="1828"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1800</w:t>
            </w:r>
            <w:r>
              <w:rPr>
                <w:rFonts w:hint="eastAsia" w:asciiTheme="minorEastAsia" w:hAnsiTheme="minorEastAsia" w:cstheme="minorEastAsia"/>
                <w:sz w:val="24"/>
                <w:szCs w:val="24"/>
                <w:lang w:val="en-US" w:eastAsia="zh-CN"/>
              </w:rPr>
              <w:t>W</w:t>
            </w:r>
            <w:r>
              <w:rPr>
                <w:rFonts w:hint="eastAsia" w:asciiTheme="minorEastAsia" w:hAnsiTheme="minorEastAsia" w:eastAsiaTheme="minorEastAsia" w:cstheme="minorEastAsia"/>
                <w:sz w:val="24"/>
                <w:szCs w:val="24"/>
              </w:rPr>
              <w:t>*670</w:t>
            </w:r>
            <w:r>
              <w:rPr>
                <w:rFonts w:hint="eastAsia" w:asciiTheme="minorEastAsia" w:hAnsiTheme="minorEastAsia" w:cstheme="minorEastAsia"/>
                <w:sz w:val="24"/>
                <w:szCs w:val="24"/>
                <w:lang w:val="en-US" w:eastAsia="zh-CN"/>
              </w:rPr>
              <w:t>D</w:t>
            </w:r>
            <w:r>
              <w:rPr>
                <w:rFonts w:hint="eastAsia" w:asciiTheme="minorEastAsia" w:hAnsiTheme="minorEastAsia" w:eastAsiaTheme="minorEastAsia" w:cstheme="minorEastAsia"/>
                <w:sz w:val="24"/>
                <w:szCs w:val="24"/>
              </w:rPr>
              <w:t>*825</w:t>
            </w:r>
            <w:r>
              <w:rPr>
                <w:rFonts w:hint="eastAsia" w:asciiTheme="minorEastAsia" w:hAnsiTheme="minorEastAsia" w:cstheme="minorEastAsia"/>
                <w:sz w:val="24"/>
                <w:szCs w:val="24"/>
                <w:lang w:val="en-US" w:eastAsia="zh-CN"/>
              </w:rPr>
              <w:t>H</w:t>
            </w:r>
          </w:p>
        </w:tc>
        <w:tc>
          <w:tcPr>
            <w:tcW w:w="777"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套</w:t>
            </w:r>
          </w:p>
        </w:tc>
        <w:tc>
          <w:tcPr>
            <w:tcW w:w="859"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7173" w:type="dxa"/>
            <w:vAlign w:val="center"/>
          </w:tcPr>
          <w:p>
            <w:pPr>
              <w:pStyle w:val="2"/>
              <w:spacing w:line="360" w:lineRule="auto"/>
              <w:ind w:firstLine="0" w:firstLineChars="0"/>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【椅面】:椅面采用聚氨酯自结皮发泡(PU)，内有高强度钢架;</w:t>
            </w:r>
          </w:p>
          <w:p>
            <w:pPr>
              <w:pStyle w:val="2"/>
              <w:spacing w:line="360" w:lineRule="auto"/>
              <w:ind w:firstLine="0" w:firstLineChars="0"/>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满足公共场所消杀要求。</w:t>
            </w:r>
          </w:p>
          <w:p>
            <w:pPr>
              <w:pStyle w:val="2"/>
              <w:spacing w:line="360" w:lineRule="auto"/>
              <w:ind w:firstLine="0" w:firstLineChars="0"/>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【扶手】:采用两块1.2冷轧钢板通过拉伸冲压成型、高频自动焊接，经除油除锈后静电喷涂而成。</w:t>
            </w:r>
          </w:p>
          <w:p>
            <w:pPr>
              <w:pStyle w:val="2"/>
              <w:spacing w:line="360" w:lineRule="auto"/>
              <w:ind w:firstLine="0" w:firstLineChars="0"/>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3、</w:t>
            </w:r>
            <w:r>
              <w:rPr>
                <w:rFonts w:hint="eastAsia" w:asciiTheme="minorEastAsia" w:hAnsiTheme="minorEastAsia" w:eastAsiaTheme="minorEastAsia" w:cstheme="minorEastAsia"/>
                <w:b w:val="0"/>
                <w:bCs/>
                <w:color w:val="000000"/>
                <w:sz w:val="24"/>
                <w:szCs w:val="24"/>
              </w:rPr>
              <w:t>【脚架】:铝合金材质;采用大型的800T压铸机，一体压铸成型，</w:t>
            </w:r>
          </w:p>
          <w:p>
            <w:pPr>
              <w:pStyle w:val="2"/>
              <w:spacing w:line="360" w:lineRule="auto"/>
              <w:ind w:firstLine="0" w:firstLineChars="0"/>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经除油后静电喷涂而成。</w:t>
            </w:r>
          </w:p>
          <w:p>
            <w:pPr>
              <w:pStyle w:val="2"/>
              <w:spacing w:line="360" w:lineRule="auto"/>
              <w:ind w:firstLine="0" w:firstLineChars="0"/>
              <w:rPr>
                <w:rFonts w:hint="eastAsia"/>
              </w:rPr>
            </w:pPr>
            <w:r>
              <w:rPr>
                <w:rFonts w:hint="eastAsia" w:asciiTheme="minorEastAsia" w:hAnsiTheme="minorEastAsia" w:cstheme="minorEastAsia"/>
                <w:b w:val="0"/>
                <w:bCs/>
                <w:color w:val="000000"/>
                <w:sz w:val="24"/>
                <w:szCs w:val="24"/>
                <w:lang w:val="en-US" w:eastAsia="zh-CN"/>
              </w:rPr>
              <w:t>4、</w:t>
            </w:r>
            <w:r>
              <w:rPr>
                <w:rFonts w:hint="eastAsia" w:asciiTheme="minorEastAsia" w:hAnsiTheme="minorEastAsia" w:eastAsiaTheme="minorEastAsia" w:cstheme="minorEastAsia"/>
                <w:b w:val="0"/>
                <w:bCs/>
                <w:color w:val="000000"/>
                <w:sz w:val="24"/>
                <w:szCs w:val="24"/>
              </w:rPr>
              <w:t>【横梁】:68*68*2.0六角型铁方管型材，经除锈后静电喷涂而成。</w:t>
            </w:r>
          </w:p>
          <w:p>
            <w:pPr>
              <w:spacing w:line="360" w:lineRule="auto"/>
              <w:rPr>
                <w:rFonts w:hint="eastAsia"/>
                <w:sz w:val="24"/>
                <w:szCs w:val="24"/>
              </w:rPr>
            </w:pPr>
            <w:r>
              <w:rPr>
                <w:rFonts w:hint="eastAsia"/>
                <w:sz w:val="24"/>
                <w:szCs w:val="24"/>
                <w:lang w:val="en-US" w:eastAsia="zh-CN"/>
              </w:rPr>
              <w:t>5、</w:t>
            </w:r>
            <w:r>
              <w:rPr>
                <w:rFonts w:hint="eastAsia"/>
                <w:sz w:val="24"/>
                <w:szCs w:val="24"/>
              </w:rPr>
              <w:t>PU颜色:可选(配颜色色卡)</w:t>
            </w:r>
          </w:p>
          <w:p>
            <w:pPr>
              <w:spacing w:line="360" w:lineRule="auto"/>
              <w:rPr>
                <w:rFonts w:hint="eastAsia"/>
                <w:sz w:val="24"/>
                <w:szCs w:val="24"/>
              </w:rPr>
            </w:pPr>
            <w:r>
              <w:rPr>
                <w:rFonts w:hint="eastAsia"/>
                <w:sz w:val="24"/>
                <w:szCs w:val="24"/>
                <w:lang w:val="en-US" w:eastAsia="zh-CN"/>
              </w:rPr>
              <w:t>6</w:t>
            </w:r>
            <w:r>
              <w:rPr>
                <w:rFonts w:hint="eastAsia"/>
                <w:sz w:val="24"/>
                <w:szCs w:val="24"/>
              </w:rPr>
              <w:t>、调节脚垫:标配用黑色PP防滑脚垫，显得美观大方。</w:t>
            </w:r>
          </w:p>
          <w:p>
            <w:pPr>
              <w:spacing w:line="360" w:lineRule="auto"/>
              <w:rPr>
                <w:rFonts w:hint="eastAsia" w:asciiTheme="minorEastAsia" w:hAnsiTheme="minorEastAsia" w:eastAsiaTheme="minorEastAsia" w:cstheme="minorEastAsia"/>
                <w:b w:val="0"/>
                <w:bCs/>
                <w:color w:val="000000"/>
                <w:sz w:val="24"/>
                <w:szCs w:val="24"/>
              </w:rPr>
            </w:pPr>
            <w:r>
              <w:rPr>
                <w:rFonts w:hint="eastAsia"/>
                <w:sz w:val="24"/>
                <w:szCs w:val="24"/>
                <w:lang w:val="en-US" w:eastAsia="zh-CN"/>
              </w:rPr>
              <w:t>7</w:t>
            </w:r>
            <w:r>
              <w:rPr>
                <w:rFonts w:hint="eastAsia"/>
                <w:sz w:val="24"/>
                <w:szCs w:val="24"/>
              </w:rPr>
              <w:t>、坚固件(安装螺丝):座背PU组合安装采用M8*25大扁头内六角螺丝连接，座背PU与承重梁采用MO*80圆头内六角螺丝连接。</w:t>
            </w:r>
          </w:p>
          <w:p>
            <w:pPr>
              <w:pStyle w:val="2"/>
              <w:spacing w:line="360" w:lineRule="auto"/>
              <w:ind w:firstLine="0" w:firstLineChars="0"/>
              <w:rPr>
                <w:rFonts w:hint="default" w:asciiTheme="minorEastAsia" w:hAnsiTheme="minorEastAsia" w:cstheme="minorEastAsia"/>
                <w:b/>
                <w:bCs w:val="0"/>
                <w:color w:val="000000"/>
                <w:sz w:val="24"/>
                <w:szCs w:val="24"/>
                <w:lang w:val="en-US" w:eastAsia="zh-CN"/>
              </w:rPr>
            </w:pPr>
            <w:r>
              <w:rPr>
                <w:rFonts w:hint="eastAsia" w:asciiTheme="minorEastAsia" w:hAnsiTheme="minorEastAsia" w:cstheme="minorEastAsia"/>
                <w:b w:val="0"/>
                <w:bCs/>
                <w:color w:val="000000"/>
                <w:sz w:val="24"/>
                <w:szCs w:val="24"/>
                <w:lang w:val="en-US" w:eastAsia="zh-CN"/>
              </w:rPr>
              <w:t>8、每个位配一根1.0mm不锈钢输液杆。</w:t>
            </w:r>
          </w:p>
        </w:tc>
      </w:tr>
    </w:tbl>
    <w:p>
      <w:pPr>
        <w:sectPr>
          <w:footerReference r:id="rId3" w:type="default"/>
          <w:pgSz w:w="16838" w:h="11906" w:orient="landscape"/>
          <w:pgMar w:top="850" w:right="1134" w:bottom="850" w:left="1134" w:header="851" w:footer="992" w:gutter="0"/>
          <w:cols w:space="0" w:num="1"/>
          <w:docGrid w:type="lines" w:linePitch="312" w:charSpace="0"/>
        </w:sectPr>
      </w:pPr>
    </w:p>
    <w:p>
      <w:pPr>
        <w:spacing w:line="288" w:lineRule="auto"/>
        <w:ind w:firstLine="602" w:firstLineChars="250"/>
        <w:rPr>
          <w:rFonts w:asciiTheme="minorEastAsia" w:hAnsiTheme="minorEastAsia"/>
          <w:b/>
          <w:bCs/>
          <w:sz w:val="24"/>
        </w:rPr>
      </w:pPr>
      <w:r>
        <w:rPr>
          <w:rFonts w:hint="eastAsia" w:ascii="宋体" w:hAnsi="宋体" w:cs="宋体"/>
          <w:b/>
          <w:bCs/>
          <w:sz w:val="24"/>
          <w:lang w:val="en-US" w:eastAsia="zh-CN"/>
        </w:rPr>
        <w:t>二</w:t>
      </w:r>
      <w:r>
        <w:rPr>
          <w:rFonts w:hint="eastAsia" w:ascii="宋体" w:hAnsi="宋体" w:cs="宋体"/>
          <w:b/>
          <w:bCs/>
          <w:sz w:val="24"/>
        </w:rPr>
        <w:t>、</w:t>
      </w:r>
      <w:r>
        <w:rPr>
          <w:rFonts w:hint="eastAsia" w:asciiTheme="minorEastAsia" w:hAnsiTheme="minorEastAsia"/>
          <w:b/>
          <w:bCs/>
          <w:sz w:val="24"/>
        </w:rPr>
        <w:t>基本参数及需求数量（</w:t>
      </w:r>
      <w:r>
        <w:rPr>
          <w:rFonts w:hint="eastAsia" w:asciiTheme="minorEastAsia" w:hAnsiTheme="minorEastAsia"/>
          <w:b/>
          <w:bCs/>
          <w:sz w:val="24"/>
          <w:lang w:val="en-US" w:eastAsia="zh-CN"/>
        </w:rPr>
        <w:t>B</w:t>
      </w:r>
      <w:r>
        <w:rPr>
          <w:rFonts w:hint="eastAsia" w:asciiTheme="minorEastAsia" w:hAnsiTheme="minorEastAsia"/>
          <w:b/>
          <w:bCs/>
          <w:sz w:val="24"/>
        </w:rPr>
        <w:t>标）</w:t>
      </w:r>
    </w:p>
    <w:p>
      <w:pPr>
        <w:pStyle w:val="2"/>
      </w:pPr>
    </w:p>
    <w:tbl>
      <w:tblPr>
        <w:tblStyle w:val="15"/>
        <w:tblW w:w="14973"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14"/>
        <w:gridCol w:w="2522"/>
        <w:gridCol w:w="1828"/>
        <w:gridCol w:w="777"/>
        <w:gridCol w:w="859"/>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00"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214" w:type="dxa"/>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522" w:type="dxa"/>
            <w:vAlign w:val="center"/>
          </w:tcPr>
          <w:p>
            <w:pPr>
              <w:jc w:val="center"/>
              <w:rPr>
                <w:rFonts w:ascii="宋体" w:hAnsi="宋体" w:eastAsia="宋体" w:cs="宋体"/>
                <w:szCs w:val="21"/>
              </w:rPr>
            </w:pPr>
            <w:r>
              <w:rPr>
                <w:rFonts w:hint="eastAsia" w:ascii="宋体" w:hAnsi="宋体" w:eastAsia="宋体" w:cs="宋体"/>
                <w:szCs w:val="21"/>
              </w:rPr>
              <w:t>参考图片</w:t>
            </w:r>
          </w:p>
        </w:tc>
        <w:tc>
          <w:tcPr>
            <w:tcW w:w="1828" w:type="dxa"/>
            <w:vAlign w:val="center"/>
          </w:tcPr>
          <w:p>
            <w:pPr>
              <w:jc w:val="center"/>
              <w:rPr>
                <w:rFonts w:ascii="宋体" w:hAnsi="宋体" w:eastAsia="宋体" w:cs="宋体"/>
                <w:szCs w:val="21"/>
              </w:rPr>
            </w:pPr>
            <w:r>
              <w:rPr>
                <w:rFonts w:hint="eastAsia" w:ascii="宋体" w:hAnsi="宋体" w:eastAsia="宋体" w:cs="宋体"/>
                <w:szCs w:val="21"/>
              </w:rPr>
              <w:t>规格（毫米）</w:t>
            </w:r>
          </w:p>
          <w:p>
            <w:pPr>
              <w:jc w:val="center"/>
              <w:rPr>
                <w:rFonts w:ascii="宋体" w:hAnsi="宋体" w:eastAsia="宋体" w:cs="宋体"/>
                <w:szCs w:val="21"/>
              </w:rPr>
            </w:pPr>
            <w:r>
              <w:rPr>
                <w:rFonts w:hint="eastAsia" w:ascii="宋体" w:hAnsi="宋体" w:eastAsia="宋体" w:cs="宋体"/>
                <w:szCs w:val="21"/>
              </w:rPr>
              <w:t>长W*宽D*高H</w:t>
            </w:r>
          </w:p>
        </w:tc>
        <w:tc>
          <w:tcPr>
            <w:tcW w:w="777"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单位</w:t>
            </w:r>
          </w:p>
        </w:tc>
        <w:tc>
          <w:tcPr>
            <w:tcW w:w="859"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7173" w:type="dxa"/>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技术指标及材质说明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color w:val="000000"/>
                <w:kern w:val="0"/>
                <w:sz w:val="24"/>
                <w:szCs w:val="24"/>
                <w:lang w:val="en-US" w:eastAsia="zh-CN" w:bidi="ar"/>
              </w:rPr>
              <w:t>1</w:t>
            </w:r>
          </w:p>
        </w:tc>
        <w:tc>
          <w:tcPr>
            <w:tcW w:w="121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儿童输液</w:t>
            </w:r>
            <w:r>
              <w:rPr>
                <w:rFonts w:hint="eastAsia" w:asciiTheme="minorEastAsia" w:hAnsiTheme="minorEastAsia" w:eastAsiaTheme="minorEastAsia" w:cstheme="minorEastAsia"/>
                <w:sz w:val="24"/>
                <w:szCs w:val="24"/>
                <w:lang w:val="en-US" w:eastAsia="zh-CN"/>
              </w:rPr>
              <w:t>椅</w:t>
            </w:r>
            <w:r>
              <w:rPr>
                <w:rFonts w:hint="eastAsia" w:asciiTheme="minorEastAsia" w:hAnsiTheme="minorEastAsia" w:cstheme="minorEastAsia"/>
                <w:sz w:val="24"/>
                <w:szCs w:val="24"/>
                <w:lang w:val="en-US" w:eastAsia="zh-CN"/>
              </w:rPr>
              <w:t>单面</w:t>
            </w:r>
          </w:p>
        </w:tc>
        <w:tc>
          <w:tcPr>
            <w:tcW w:w="2522"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1461135" cy="1749425"/>
                  <wp:effectExtent l="0" t="0" r="5715" b="3175"/>
                  <wp:docPr id="6" name="图片 6" descr="7b2a6d7e1092b117c0ae3c5cf58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2a6d7e1092b117c0ae3c5cf586614"/>
                          <pic:cNvPicPr>
                            <a:picLocks noChangeAspect="1"/>
                          </pic:cNvPicPr>
                        </pic:nvPicPr>
                        <pic:blipFill>
                          <a:blip r:embed="rId6"/>
                          <a:stretch>
                            <a:fillRect/>
                          </a:stretch>
                        </pic:blipFill>
                        <pic:spPr>
                          <a:xfrm>
                            <a:off x="0" y="0"/>
                            <a:ext cx="1461135" cy="1749425"/>
                          </a:xfrm>
                          <a:prstGeom prst="rect">
                            <a:avLst/>
                          </a:prstGeom>
                        </pic:spPr>
                      </pic:pic>
                    </a:graphicData>
                  </a:graphic>
                </wp:inline>
              </w:drawing>
            </w:r>
          </w:p>
        </w:tc>
        <w:tc>
          <w:tcPr>
            <w:tcW w:w="1828" w:type="dxa"/>
            <w:vAlign w:val="center"/>
          </w:tcPr>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ascii="宋体" w:hAnsi="宋体" w:eastAsia="宋体" w:cs="宋体"/>
                <w:sz w:val="24"/>
                <w:szCs w:val="24"/>
              </w:rPr>
              <w:t>900</w:t>
            </w:r>
            <w:r>
              <w:rPr>
                <w:rFonts w:hint="eastAsia" w:ascii="宋体" w:hAnsi="宋体" w:eastAsia="宋体" w:cs="宋体"/>
                <w:sz w:val="24"/>
                <w:szCs w:val="24"/>
                <w:lang w:val="en-US" w:eastAsia="zh-CN"/>
              </w:rPr>
              <w:t>W</w:t>
            </w:r>
            <w:r>
              <w:rPr>
                <w:rFonts w:ascii="宋体" w:hAnsi="宋体" w:eastAsia="宋体" w:cs="宋体"/>
                <w:sz w:val="24"/>
                <w:szCs w:val="24"/>
              </w:rPr>
              <w:t>*550</w:t>
            </w:r>
            <w:r>
              <w:rPr>
                <w:rFonts w:hint="eastAsia" w:ascii="宋体" w:hAnsi="宋体" w:eastAsia="宋体" w:cs="宋体"/>
                <w:sz w:val="24"/>
                <w:szCs w:val="24"/>
                <w:lang w:val="en-US" w:eastAsia="zh-CN"/>
              </w:rPr>
              <w:t>D</w:t>
            </w:r>
            <w:r>
              <w:rPr>
                <w:rFonts w:ascii="宋体" w:hAnsi="宋体" w:eastAsia="宋体" w:cs="宋体"/>
                <w:sz w:val="24"/>
                <w:szCs w:val="24"/>
              </w:rPr>
              <w:t>*900H</w:t>
            </w:r>
          </w:p>
          <w:p>
            <w:pPr>
              <w:tabs>
                <w:tab w:val="left" w:pos="586"/>
              </w:tabs>
              <w:jc w:val="left"/>
              <w:rPr>
                <w:rFonts w:hint="eastAsia" w:asciiTheme="minorEastAsia" w:hAnsiTheme="minorEastAsia" w:eastAsiaTheme="minorEastAsia" w:cstheme="minorEastAsia"/>
                <w:sz w:val="24"/>
                <w:szCs w:val="24"/>
              </w:rPr>
            </w:pPr>
          </w:p>
        </w:tc>
        <w:tc>
          <w:tcPr>
            <w:tcW w:w="777"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套</w:t>
            </w:r>
          </w:p>
        </w:tc>
        <w:tc>
          <w:tcPr>
            <w:tcW w:w="859"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w:t>
            </w:r>
          </w:p>
        </w:tc>
        <w:tc>
          <w:tcPr>
            <w:tcW w:w="7173" w:type="dxa"/>
            <w:vAlign w:val="center"/>
          </w:tcPr>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材质：1、饰面：采用优质环保三聚氰胺饰面板，符合</w:t>
            </w:r>
            <w:r>
              <w:rPr>
                <w:rFonts w:hint="eastAsia" w:asciiTheme="minorEastAsia" w:hAnsiTheme="minorEastAsia" w:cstheme="minorEastAsia"/>
                <w:b w:val="0"/>
                <w:bCs/>
                <w:color w:val="auto"/>
                <w:sz w:val="24"/>
                <w:szCs w:val="24"/>
                <w:lang w:val="en-US" w:eastAsia="zh-CN"/>
              </w:rPr>
              <w:t>GB/T 15102-2017</w:t>
            </w:r>
            <w:r>
              <w:rPr>
                <w:rFonts w:hint="eastAsia" w:asciiTheme="minorEastAsia" w:hAnsiTheme="minorEastAsia" w:cstheme="minorEastAsia"/>
                <w:b w:val="0"/>
                <w:bCs/>
                <w:color w:val="000000"/>
                <w:sz w:val="24"/>
                <w:szCs w:val="24"/>
                <w:lang w:val="en-US" w:eastAsia="zh-CN"/>
              </w:rPr>
              <w:t>《浸渍胶膜纸饰面纤维板和刨花板》、</w:t>
            </w:r>
            <w:r>
              <w:rPr>
                <w:rFonts w:hint="eastAsia" w:asciiTheme="minorEastAsia" w:hAnsiTheme="minorEastAsia" w:cstheme="minorEastAsia"/>
                <w:b w:val="0"/>
                <w:bCs/>
                <w:color w:val="auto"/>
                <w:sz w:val="24"/>
                <w:szCs w:val="24"/>
                <w:lang w:val="en-US" w:eastAsia="zh-CN"/>
              </w:rPr>
              <w:t>GB 18580-2017</w:t>
            </w:r>
            <w:r>
              <w:rPr>
                <w:rFonts w:hint="eastAsia" w:asciiTheme="minorEastAsia" w:hAnsiTheme="minorEastAsia" w:cstheme="minorEastAsia"/>
                <w:b w:val="0"/>
                <w:bCs/>
                <w:color w:val="000000"/>
                <w:sz w:val="24"/>
                <w:szCs w:val="24"/>
                <w:lang w:val="en-US" w:eastAsia="zh-CN"/>
              </w:rPr>
              <w:t xml:space="preserve">《室内装饰装修材料人造板及其制品中甲醛释放限量》标准，静曲强度13.2MPa、弹性模量2790MPa、内结合强度0.4MPa、2h吸水厚度膨胀率0.5%、表面胶合强度1.47MPa、甲醛释放量0.026mg/m³；表面耐污染腐蚀、表面耐龟裂均5级。                                  </w:t>
            </w:r>
          </w:p>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2、基材: </w:t>
            </w:r>
            <w:r>
              <w:rPr>
                <w:rFonts w:hint="eastAsia" w:asciiTheme="minorEastAsia" w:hAnsiTheme="minorEastAsia" w:cstheme="minorEastAsia"/>
                <w:b w:val="0"/>
                <w:bCs/>
                <w:color w:val="auto"/>
                <w:sz w:val="24"/>
                <w:szCs w:val="24"/>
                <w:lang w:val="en-US" w:eastAsia="zh-CN"/>
              </w:rPr>
              <w:t>采用优质E1级环保多层实木板，质量符合GB/T9846-2015标准，甲醛释放量</w:t>
            </w:r>
            <w:r>
              <w:rPr>
                <w:rFonts w:hint="eastAsia" w:ascii="微软雅黑" w:hAnsi="微软雅黑" w:eastAsia="微软雅黑" w:cs="微软雅黑"/>
                <w:b w:val="0"/>
                <w:bCs/>
                <w:color w:val="auto"/>
                <w:sz w:val="24"/>
                <w:szCs w:val="24"/>
                <w:lang w:val="en-US" w:eastAsia="zh-CN"/>
              </w:rPr>
              <w:t>≦</w:t>
            </w:r>
            <w:r>
              <w:rPr>
                <w:rFonts w:hint="eastAsia" w:asciiTheme="minorEastAsia" w:hAnsiTheme="minorEastAsia" w:cstheme="minorEastAsia"/>
                <w:b w:val="0"/>
                <w:bCs/>
                <w:color w:val="auto"/>
                <w:sz w:val="24"/>
                <w:szCs w:val="24"/>
                <w:lang w:val="en-US" w:eastAsia="zh-CN"/>
              </w:rPr>
              <w:t>0.124mg/m³</w:t>
            </w:r>
            <w:r>
              <w:rPr>
                <w:rFonts w:hint="eastAsia" w:asciiTheme="minorEastAsia" w:hAnsiTheme="minorEastAsia" w:cstheme="minorEastAsia"/>
                <w:b w:val="0"/>
                <w:bCs/>
                <w:color w:val="000000"/>
                <w:sz w:val="24"/>
                <w:szCs w:val="24"/>
                <w:lang w:val="en-US" w:eastAsia="zh-CN"/>
              </w:rPr>
              <w:t>、胶合强度、静曲强度符合标准，经防虫、防腐化学处理，强度大，尺寸稳定性好，握钉力强，不易变形。</w:t>
            </w:r>
          </w:p>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3、皮面：采用优质西皮覆面，符</w:t>
            </w:r>
            <w:r>
              <w:rPr>
                <w:rFonts w:hint="eastAsia" w:asciiTheme="minorEastAsia" w:hAnsiTheme="minorEastAsia" w:cstheme="minorEastAsia"/>
                <w:b w:val="0"/>
                <w:bCs/>
                <w:color w:val="auto"/>
                <w:sz w:val="24"/>
                <w:szCs w:val="24"/>
                <w:lang w:val="en-US" w:eastAsia="zh-CN"/>
              </w:rPr>
              <w:t>合GB/T 16799-2018《</w:t>
            </w:r>
            <w:r>
              <w:rPr>
                <w:rFonts w:hint="eastAsia" w:asciiTheme="minorEastAsia" w:hAnsiTheme="minorEastAsia" w:cstheme="minorEastAsia"/>
                <w:b w:val="0"/>
                <w:bCs/>
                <w:color w:val="000000"/>
                <w:sz w:val="24"/>
                <w:szCs w:val="24"/>
                <w:lang w:val="en-US" w:eastAsia="zh-CN"/>
              </w:rPr>
              <w:t>家具用皮革》标准，耐折牢度（50000 次）无裂纹，撕裂力 30.2N，皮面光泽度好，透气性强，柔软且富有韧性；</w:t>
            </w:r>
          </w:p>
          <w:p>
            <w:pPr>
              <w:pStyle w:val="2"/>
              <w:spacing w:line="360" w:lineRule="auto"/>
              <w:ind w:firstLine="0" w:firstLineChars="0"/>
              <w:rPr>
                <w:rFonts w:hint="default" w:asciiTheme="minorEastAsia" w:hAnsiTheme="minorEastAsia" w:cstheme="minorEastAsia"/>
                <w:b/>
                <w:bCs w:val="0"/>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4、坐垫海绵：采用优质高弹力海绵，符合 </w:t>
            </w:r>
            <w:r>
              <w:rPr>
                <w:rFonts w:hint="eastAsia" w:asciiTheme="minorEastAsia" w:hAnsiTheme="minorEastAsia" w:cstheme="minorEastAsia"/>
                <w:b w:val="0"/>
                <w:bCs/>
                <w:color w:val="auto"/>
                <w:sz w:val="24"/>
                <w:szCs w:val="24"/>
                <w:lang w:val="en-US" w:eastAsia="zh-CN"/>
              </w:rPr>
              <w:t xml:space="preserve">GB/T 10802-2006 </w:t>
            </w:r>
            <w:r>
              <w:rPr>
                <w:rFonts w:hint="eastAsia" w:asciiTheme="minorEastAsia" w:hAnsiTheme="minorEastAsia" w:cstheme="minorEastAsia"/>
                <w:b w:val="0"/>
                <w:bCs/>
                <w:color w:val="000000"/>
                <w:sz w:val="24"/>
                <w:szCs w:val="24"/>
                <w:lang w:val="en-US" w:eastAsia="zh-CN"/>
              </w:rPr>
              <w:t>标准 《通用软质聚醚型聚氨酯泡沫塑料》，无刺激性气味，75%压缩永久变形 8.0%，回弹率为 57%，干热老化后拉伸强度 70.7kpa，泡沫塑料表观密度 40.8kg/m³，软硬适中，回弹性好，不变形，海绵的形状既具现代美感，坐感舒适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00" w:type="dxa"/>
            <w:vAlign w:val="center"/>
          </w:tcPr>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2</w:t>
            </w:r>
          </w:p>
        </w:tc>
        <w:tc>
          <w:tcPr>
            <w:tcW w:w="1214" w:type="dxa"/>
            <w:vAlign w:val="center"/>
          </w:tcPr>
          <w:p>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儿童输液</w:t>
            </w:r>
            <w:r>
              <w:rPr>
                <w:rFonts w:hint="eastAsia" w:asciiTheme="minorEastAsia" w:hAnsiTheme="minorEastAsia" w:eastAsiaTheme="minorEastAsia" w:cstheme="minorEastAsia"/>
                <w:sz w:val="24"/>
                <w:szCs w:val="24"/>
                <w:lang w:val="en-US" w:eastAsia="zh-CN"/>
              </w:rPr>
              <w:t>椅</w:t>
            </w:r>
            <w:r>
              <w:rPr>
                <w:rFonts w:hint="eastAsia" w:asciiTheme="minorEastAsia" w:hAnsiTheme="minorEastAsia" w:cstheme="minorEastAsia"/>
                <w:sz w:val="24"/>
                <w:szCs w:val="24"/>
                <w:lang w:val="en-US" w:eastAsia="zh-CN"/>
              </w:rPr>
              <w:t>双面</w:t>
            </w:r>
          </w:p>
        </w:tc>
        <w:tc>
          <w:tcPr>
            <w:tcW w:w="2522"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1461135" cy="1749425"/>
                  <wp:effectExtent l="0" t="0" r="5715" b="3175"/>
                  <wp:docPr id="7" name="图片 7" descr="7b2a6d7e1092b117c0ae3c5cf58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b2a6d7e1092b117c0ae3c5cf586614"/>
                          <pic:cNvPicPr>
                            <a:picLocks noChangeAspect="1"/>
                          </pic:cNvPicPr>
                        </pic:nvPicPr>
                        <pic:blipFill>
                          <a:blip r:embed="rId6"/>
                          <a:stretch>
                            <a:fillRect/>
                          </a:stretch>
                        </pic:blipFill>
                        <pic:spPr>
                          <a:xfrm>
                            <a:off x="0" y="0"/>
                            <a:ext cx="1461135" cy="1749425"/>
                          </a:xfrm>
                          <a:prstGeom prst="rect">
                            <a:avLst/>
                          </a:prstGeom>
                        </pic:spPr>
                      </pic:pic>
                    </a:graphicData>
                  </a:graphic>
                </wp:inline>
              </w:drawing>
            </w:r>
          </w:p>
        </w:tc>
        <w:tc>
          <w:tcPr>
            <w:tcW w:w="1828" w:type="dxa"/>
            <w:vAlign w:val="center"/>
          </w:tcPr>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ascii="宋体" w:hAnsi="宋体" w:eastAsia="宋体" w:cs="宋体"/>
                <w:sz w:val="24"/>
                <w:szCs w:val="24"/>
              </w:rPr>
              <w:t>900</w:t>
            </w:r>
            <w:r>
              <w:rPr>
                <w:rFonts w:hint="eastAsia" w:ascii="宋体" w:hAnsi="宋体" w:eastAsia="宋体" w:cs="宋体"/>
                <w:sz w:val="24"/>
                <w:szCs w:val="24"/>
                <w:lang w:val="en-US" w:eastAsia="zh-CN"/>
              </w:rPr>
              <w:t>W</w:t>
            </w:r>
            <w:r>
              <w:rPr>
                <w:rFonts w:ascii="宋体" w:hAnsi="宋体" w:eastAsia="宋体" w:cs="宋体"/>
                <w:sz w:val="24"/>
                <w:szCs w:val="24"/>
              </w:rPr>
              <w:t>*1100</w:t>
            </w:r>
            <w:r>
              <w:rPr>
                <w:rFonts w:hint="eastAsia" w:ascii="宋体" w:hAnsi="宋体" w:eastAsia="宋体" w:cs="宋体"/>
                <w:sz w:val="24"/>
                <w:szCs w:val="24"/>
                <w:lang w:val="en-US" w:eastAsia="zh-CN"/>
              </w:rPr>
              <w:t>D</w:t>
            </w:r>
            <w:r>
              <w:rPr>
                <w:rFonts w:ascii="宋体" w:hAnsi="宋体" w:eastAsia="宋体" w:cs="宋体"/>
                <w:sz w:val="24"/>
                <w:szCs w:val="24"/>
              </w:rPr>
              <w:t>*900H</w:t>
            </w:r>
          </w:p>
          <w:p>
            <w:pPr>
              <w:jc w:val="center"/>
              <w:rPr>
                <w:rFonts w:hint="eastAsia" w:asciiTheme="minorEastAsia" w:hAnsiTheme="minorEastAsia" w:eastAsiaTheme="minorEastAsia" w:cstheme="minorEastAsia"/>
                <w:sz w:val="24"/>
                <w:szCs w:val="24"/>
              </w:rPr>
            </w:pPr>
          </w:p>
        </w:tc>
        <w:tc>
          <w:tcPr>
            <w:tcW w:w="777"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套</w:t>
            </w:r>
          </w:p>
        </w:tc>
        <w:tc>
          <w:tcPr>
            <w:tcW w:w="859" w:type="dxa"/>
            <w:vAlign w:val="center"/>
          </w:tcPr>
          <w:p>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19</w:t>
            </w:r>
          </w:p>
        </w:tc>
        <w:tc>
          <w:tcPr>
            <w:tcW w:w="7173" w:type="dxa"/>
            <w:vAlign w:val="center"/>
          </w:tcPr>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 xml:space="preserve">材质：1、饰面：采用优质环保三聚氰胺饰面板，符合GB/T 15102-2017《浸渍胶膜纸饰面纤维板和刨花板》、GB 18580-2017《室内装饰装修材料人造板及其制品中甲醛释放限量》标准，静曲强度13.2MPa、弹性模量2790MPa、内结合强度0.4MPa、2h吸水厚度膨胀率0.5%、表面胶合强度1.47MPa、甲醛释放量0.026mg/m³；表面耐污染腐蚀、表面耐龟裂均5级。                                  </w:t>
            </w:r>
          </w:p>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2、基材:</w:t>
            </w:r>
            <w:r>
              <w:rPr>
                <w:rFonts w:hint="eastAsia" w:asciiTheme="minorEastAsia" w:hAnsiTheme="minorEastAsia" w:cstheme="minorEastAsia"/>
                <w:b w:val="0"/>
                <w:bCs/>
                <w:color w:val="auto"/>
                <w:sz w:val="24"/>
                <w:szCs w:val="24"/>
                <w:lang w:val="en-US" w:eastAsia="zh-CN"/>
              </w:rPr>
              <w:t xml:space="preserve"> 采用优质E1级环保多层实木</w:t>
            </w:r>
            <w:bookmarkStart w:id="0" w:name="_GoBack"/>
            <w:bookmarkEnd w:id="0"/>
            <w:r>
              <w:rPr>
                <w:rFonts w:hint="eastAsia" w:asciiTheme="minorEastAsia" w:hAnsiTheme="minorEastAsia" w:cstheme="minorEastAsia"/>
                <w:b w:val="0"/>
                <w:bCs/>
                <w:color w:val="auto"/>
                <w:sz w:val="24"/>
                <w:szCs w:val="24"/>
                <w:lang w:val="en-US" w:eastAsia="zh-CN"/>
              </w:rPr>
              <w:t>板，质量符合GB/T9846-2015标准，甲醛释放量</w:t>
            </w:r>
            <w:r>
              <w:rPr>
                <w:rFonts w:hint="eastAsia" w:ascii="微软雅黑" w:hAnsi="微软雅黑" w:eastAsia="微软雅黑" w:cs="微软雅黑"/>
                <w:b w:val="0"/>
                <w:bCs/>
                <w:color w:val="auto"/>
                <w:sz w:val="24"/>
                <w:szCs w:val="24"/>
                <w:lang w:val="en-US" w:eastAsia="zh-CN"/>
              </w:rPr>
              <w:t>≦</w:t>
            </w:r>
            <w:r>
              <w:rPr>
                <w:rFonts w:hint="eastAsia" w:asciiTheme="minorEastAsia" w:hAnsiTheme="minorEastAsia" w:cstheme="minorEastAsia"/>
                <w:b w:val="0"/>
                <w:bCs/>
                <w:color w:val="auto"/>
                <w:sz w:val="24"/>
                <w:szCs w:val="24"/>
                <w:lang w:val="en-US" w:eastAsia="zh-CN"/>
              </w:rPr>
              <w:t>0.124mg/m³</w:t>
            </w:r>
            <w:r>
              <w:rPr>
                <w:rFonts w:hint="eastAsia" w:asciiTheme="minorEastAsia" w:hAnsiTheme="minorEastAsia" w:cstheme="minorEastAsia"/>
                <w:b w:val="0"/>
                <w:bCs/>
                <w:color w:val="000000"/>
                <w:sz w:val="24"/>
                <w:szCs w:val="24"/>
                <w:lang w:val="en-US" w:eastAsia="zh-CN"/>
              </w:rPr>
              <w:t>、胶合强度、静曲强度符合标准，经防虫、防腐化学处理，强度大，尺寸稳定性好，握钉力强，不易变形。</w:t>
            </w:r>
          </w:p>
          <w:p>
            <w:pPr>
              <w:pStyle w:val="2"/>
              <w:spacing w:line="360" w:lineRule="auto"/>
              <w:ind w:firstLine="0" w:firstLineChars="0"/>
              <w:rPr>
                <w:rFonts w:hint="eastAsia" w:asciiTheme="minorEastAsia" w:hAnsiTheme="minorEastAsia" w:cstheme="minorEastAsia"/>
                <w:b w:val="0"/>
                <w:bCs/>
                <w:color w:val="000000"/>
                <w:sz w:val="24"/>
                <w:szCs w:val="24"/>
                <w:lang w:val="en-US" w:eastAsia="zh-CN"/>
              </w:rPr>
            </w:pPr>
            <w:r>
              <w:rPr>
                <w:rFonts w:hint="eastAsia" w:asciiTheme="minorEastAsia" w:hAnsiTheme="minorEastAsia" w:cstheme="minorEastAsia"/>
                <w:b w:val="0"/>
                <w:bCs/>
                <w:color w:val="000000"/>
                <w:sz w:val="24"/>
                <w:szCs w:val="24"/>
                <w:lang w:val="en-US" w:eastAsia="zh-CN"/>
              </w:rPr>
              <w:t>3、皮面：采用优质西皮覆面，符合GB/T 16799-2018《家具用皮革》标准，耐折牢度（50000 次）无裂纹，撕裂力 30.2N，皮面光泽度好，透气性强，柔软且富有韧性；</w:t>
            </w:r>
          </w:p>
          <w:p>
            <w:pPr>
              <w:pStyle w:val="2"/>
              <w:spacing w:line="360" w:lineRule="auto"/>
              <w:ind w:firstLine="0" w:firstLineChars="0"/>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Theme="minorEastAsia" w:hAnsiTheme="minorEastAsia" w:cstheme="minorEastAsia"/>
                <w:b w:val="0"/>
                <w:bCs/>
                <w:color w:val="000000"/>
                <w:sz w:val="24"/>
                <w:szCs w:val="24"/>
                <w:lang w:val="en-US" w:eastAsia="zh-CN"/>
              </w:rPr>
              <w:t>4、坐垫海绵：采用优质高弹力海绵，符合 GB/T 10802-2006 标准 《通用软质聚醚型聚氨酯泡沫塑料》，无刺激性气味，75%压缩永久变形 8.0%，回弹率为 57%，干热老化后拉伸强度 70.7kpa，泡沫塑料表观密度 40.8kg/m³，软硬适中，回弹性好，不变形，海绵的形状既具现代美感，坐感舒适</w:t>
            </w:r>
          </w:p>
        </w:tc>
      </w:tr>
    </w:tbl>
    <w:p>
      <w:pPr>
        <w:pStyle w:val="2"/>
        <w:sectPr>
          <w:pgSz w:w="16838" w:h="11906" w:orient="landscape"/>
          <w:pgMar w:top="850" w:right="1134" w:bottom="850" w:left="1134" w:header="851" w:footer="992" w:gutter="0"/>
          <w:cols w:space="0" w:num="1"/>
          <w:docGrid w:type="lines" w:linePitch="312" w:charSpace="0"/>
        </w:sectPr>
      </w:pPr>
    </w:p>
    <w:p>
      <w:pPr>
        <w:pStyle w:val="8"/>
        <w:spacing w:line="320" w:lineRule="exact"/>
        <w:jc w:val="center"/>
        <w:rPr>
          <w:rFonts w:hAnsi="宋体" w:cs="宋体"/>
          <w:b/>
          <w:bCs/>
          <w:sz w:val="32"/>
          <w:szCs w:val="32"/>
        </w:rPr>
      </w:pPr>
      <w:r>
        <w:rPr>
          <w:rFonts w:hint="eastAsia" w:hAnsi="宋体" w:eastAsia="宋体" w:cs="宋体"/>
          <w:b/>
          <w:bCs/>
          <w:sz w:val="32"/>
          <w:szCs w:val="32"/>
        </w:rPr>
        <w:t>评分办法</w:t>
      </w:r>
    </w:p>
    <w:p>
      <w:pPr>
        <w:pStyle w:val="8"/>
        <w:spacing w:line="320" w:lineRule="exact"/>
        <w:ind w:firstLine="472" w:firstLineChars="196"/>
        <w:rPr>
          <w:rFonts w:hAnsi="宋体" w:cs="宋体"/>
          <w:b/>
          <w:bCs/>
          <w:sz w:val="24"/>
          <w:szCs w:val="24"/>
        </w:rPr>
      </w:pPr>
    </w:p>
    <w:p>
      <w:pPr>
        <w:pStyle w:val="8"/>
        <w:spacing w:line="440" w:lineRule="exact"/>
        <w:ind w:firstLine="472" w:firstLineChars="196"/>
        <w:rPr>
          <w:rFonts w:hAnsi="宋体" w:cs="宋体"/>
          <w:b/>
          <w:bCs/>
          <w:sz w:val="24"/>
          <w:szCs w:val="24"/>
        </w:rPr>
      </w:pPr>
      <w:r>
        <w:rPr>
          <w:rFonts w:hint="eastAsia" w:hAnsi="宋体" w:eastAsia="宋体" w:cs="宋体"/>
          <w:b/>
          <w:bCs/>
          <w:sz w:val="24"/>
          <w:szCs w:val="24"/>
        </w:rPr>
        <w:t>一、评标依据及方式</w:t>
      </w:r>
    </w:p>
    <w:p>
      <w:pPr>
        <w:pStyle w:val="8"/>
        <w:spacing w:line="440" w:lineRule="exact"/>
        <w:ind w:firstLine="480" w:firstLineChars="200"/>
        <w:rPr>
          <w:rFonts w:hAnsi="宋体" w:cs="宋体"/>
          <w:sz w:val="24"/>
          <w:szCs w:val="24"/>
        </w:rPr>
      </w:pPr>
      <w:r>
        <w:rPr>
          <w:rFonts w:hint="eastAsia" w:hAnsi="宋体" w:eastAsia="宋体" w:cs="宋体"/>
          <w:sz w:val="24"/>
          <w:szCs w:val="24"/>
        </w:rPr>
        <w:t>1.评标依据：医院询价小组以询价文件和投标文件为评标依据，对投标人的投标文件进行评审。</w:t>
      </w:r>
    </w:p>
    <w:p>
      <w:pPr>
        <w:pStyle w:val="8"/>
        <w:spacing w:line="440" w:lineRule="exact"/>
        <w:ind w:firstLine="480" w:firstLineChars="200"/>
        <w:rPr>
          <w:rFonts w:hAnsi="宋体" w:cs="宋体"/>
          <w:sz w:val="24"/>
          <w:szCs w:val="24"/>
        </w:rPr>
      </w:pPr>
      <w:r>
        <w:rPr>
          <w:rFonts w:hint="eastAsia" w:hAnsi="宋体" w:eastAsia="宋体" w:cs="宋体"/>
          <w:sz w:val="24"/>
          <w:szCs w:val="24"/>
        </w:rPr>
        <w:t>2.评标方式：以封闭方式进行评</w:t>
      </w:r>
      <w:r>
        <w:rPr>
          <w:rFonts w:hint="eastAsia" w:hAnsi="宋体" w:cs="宋体"/>
          <w:sz w:val="24"/>
          <w:szCs w:val="24"/>
        </w:rPr>
        <w:t>审</w:t>
      </w:r>
      <w:r>
        <w:rPr>
          <w:rFonts w:hint="eastAsia" w:hAnsi="宋体" w:eastAsia="宋体" w:cs="宋体"/>
          <w:sz w:val="24"/>
          <w:szCs w:val="24"/>
        </w:rPr>
        <w:t>。</w:t>
      </w:r>
    </w:p>
    <w:p>
      <w:pPr>
        <w:pStyle w:val="8"/>
        <w:spacing w:line="440" w:lineRule="exact"/>
        <w:ind w:firstLine="480" w:firstLineChars="200"/>
        <w:rPr>
          <w:rFonts w:hAnsi="宋体" w:cs="宋体"/>
          <w:sz w:val="24"/>
          <w:szCs w:val="24"/>
        </w:rPr>
      </w:pPr>
      <w:r>
        <w:rPr>
          <w:rFonts w:hint="eastAsia" w:hAnsi="宋体" w:eastAsia="宋体" w:cs="宋体"/>
          <w:sz w:val="24"/>
          <w:szCs w:val="24"/>
        </w:rPr>
        <w:t>3.根据财库〔2012〕69号文规定，医院询价小组成员要严格遵守采购相关法律制度，依法履行各自职责，公正、客观、审慎地组织和参与评审工作。各部分所占的分值如下：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701"/>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tcPr>
          <w:p>
            <w:pPr>
              <w:pStyle w:val="8"/>
              <w:spacing w:line="440" w:lineRule="exact"/>
              <w:jc w:val="center"/>
              <w:rPr>
                <w:rFonts w:hAnsi="宋体" w:cs="宋体"/>
                <w:sz w:val="24"/>
                <w:szCs w:val="24"/>
              </w:rPr>
            </w:pPr>
            <w:r>
              <w:rPr>
                <w:rFonts w:hint="eastAsia" w:hAnsi="宋体" w:eastAsia="宋体" w:cs="宋体"/>
                <w:sz w:val="24"/>
                <w:szCs w:val="24"/>
              </w:rPr>
              <w:t>价格分</w:t>
            </w:r>
          </w:p>
        </w:tc>
        <w:tc>
          <w:tcPr>
            <w:tcW w:w="1701" w:type="dxa"/>
          </w:tcPr>
          <w:p>
            <w:pPr>
              <w:pStyle w:val="8"/>
              <w:spacing w:line="440" w:lineRule="exact"/>
              <w:jc w:val="center"/>
              <w:rPr>
                <w:rFonts w:hAnsi="宋体" w:cs="宋体"/>
                <w:sz w:val="24"/>
                <w:szCs w:val="24"/>
              </w:rPr>
            </w:pPr>
            <w:r>
              <w:rPr>
                <w:rFonts w:hint="eastAsia" w:hAnsi="宋体" w:eastAsia="宋体" w:cs="宋体"/>
                <w:sz w:val="24"/>
                <w:szCs w:val="24"/>
              </w:rPr>
              <w:t>样品分</w:t>
            </w:r>
          </w:p>
        </w:tc>
        <w:tc>
          <w:tcPr>
            <w:tcW w:w="1984" w:type="dxa"/>
          </w:tcPr>
          <w:p>
            <w:pPr>
              <w:pStyle w:val="8"/>
              <w:spacing w:line="440" w:lineRule="exact"/>
              <w:jc w:val="center"/>
              <w:rPr>
                <w:rFonts w:hAnsi="宋体" w:cs="宋体"/>
                <w:sz w:val="24"/>
                <w:szCs w:val="24"/>
              </w:rPr>
            </w:pPr>
            <w:r>
              <w:rPr>
                <w:rFonts w:hint="eastAsia" w:hAnsi="宋体" w:eastAsia="宋体" w:cs="宋体"/>
                <w:sz w:val="24"/>
                <w:szCs w:val="24"/>
              </w:rPr>
              <w:t>履约能力保障分</w:t>
            </w:r>
          </w:p>
        </w:tc>
        <w:tc>
          <w:tcPr>
            <w:tcW w:w="1843" w:type="dxa"/>
          </w:tcPr>
          <w:p>
            <w:pPr>
              <w:pStyle w:val="8"/>
              <w:spacing w:line="440" w:lineRule="exact"/>
              <w:jc w:val="center"/>
              <w:rPr>
                <w:rFonts w:hAnsi="宋体" w:cs="宋体"/>
                <w:sz w:val="24"/>
                <w:szCs w:val="24"/>
              </w:rPr>
            </w:pPr>
            <w:r>
              <w:rPr>
                <w:rFonts w:hint="eastAsia" w:hAnsi="宋体" w:eastAsia="宋体" w:cs="宋体"/>
                <w:sz w:val="24"/>
                <w:szCs w:val="24"/>
              </w:rPr>
              <w:t>售后服务分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3" w:type="dxa"/>
          </w:tcPr>
          <w:p>
            <w:pPr>
              <w:pStyle w:val="8"/>
              <w:spacing w:line="440" w:lineRule="exact"/>
              <w:jc w:val="center"/>
              <w:rPr>
                <w:rFonts w:hint="default" w:hAnsi="宋体" w:cs="宋体" w:eastAsiaTheme="minorEastAsia"/>
                <w:sz w:val="24"/>
                <w:szCs w:val="24"/>
                <w:lang w:val="en-US" w:eastAsia="zh-CN"/>
              </w:rPr>
            </w:pPr>
            <w:r>
              <w:rPr>
                <w:rFonts w:hint="eastAsia" w:hAnsi="宋体" w:eastAsia="宋体" w:cs="宋体"/>
                <w:sz w:val="24"/>
                <w:szCs w:val="24"/>
                <w:lang w:val="en-US" w:eastAsia="zh-CN"/>
              </w:rPr>
              <w:t>35</w:t>
            </w:r>
          </w:p>
        </w:tc>
        <w:tc>
          <w:tcPr>
            <w:tcW w:w="1701" w:type="dxa"/>
          </w:tcPr>
          <w:p>
            <w:pPr>
              <w:pStyle w:val="8"/>
              <w:spacing w:line="440" w:lineRule="exact"/>
              <w:jc w:val="center"/>
              <w:rPr>
                <w:rFonts w:hAnsi="宋体" w:cs="宋体"/>
                <w:sz w:val="24"/>
                <w:szCs w:val="24"/>
              </w:rPr>
            </w:pPr>
            <w:r>
              <w:rPr>
                <w:rFonts w:hint="eastAsia" w:hAnsi="宋体" w:eastAsia="宋体" w:cs="宋体"/>
                <w:sz w:val="24"/>
                <w:szCs w:val="24"/>
              </w:rPr>
              <w:t>24</w:t>
            </w:r>
          </w:p>
        </w:tc>
        <w:tc>
          <w:tcPr>
            <w:tcW w:w="1984" w:type="dxa"/>
          </w:tcPr>
          <w:p>
            <w:pPr>
              <w:pStyle w:val="8"/>
              <w:spacing w:line="440" w:lineRule="exact"/>
              <w:jc w:val="center"/>
              <w:rPr>
                <w:rFonts w:hAnsi="宋体" w:cs="宋体"/>
                <w:sz w:val="24"/>
                <w:szCs w:val="24"/>
              </w:rPr>
            </w:pPr>
            <w:r>
              <w:rPr>
                <w:rFonts w:hint="eastAsia" w:hAnsi="宋体" w:cs="宋体"/>
                <w:sz w:val="24"/>
                <w:szCs w:val="24"/>
              </w:rPr>
              <w:t>24</w:t>
            </w:r>
          </w:p>
        </w:tc>
        <w:tc>
          <w:tcPr>
            <w:tcW w:w="1843" w:type="dxa"/>
          </w:tcPr>
          <w:p>
            <w:pPr>
              <w:pStyle w:val="8"/>
              <w:spacing w:line="440" w:lineRule="exact"/>
              <w:jc w:val="center"/>
              <w:rPr>
                <w:rFonts w:hAnsi="宋体" w:cs="宋体"/>
                <w:sz w:val="24"/>
                <w:szCs w:val="24"/>
              </w:rPr>
            </w:pPr>
            <w:r>
              <w:rPr>
                <w:rFonts w:hint="eastAsia" w:hAnsi="宋体" w:cs="宋体"/>
                <w:sz w:val="24"/>
                <w:szCs w:val="24"/>
              </w:rPr>
              <w:t>17</w:t>
            </w:r>
          </w:p>
        </w:tc>
      </w:tr>
    </w:tbl>
    <w:p>
      <w:pPr>
        <w:pStyle w:val="8"/>
        <w:spacing w:line="440" w:lineRule="exact"/>
        <w:ind w:firstLine="482" w:firstLineChars="200"/>
        <w:rPr>
          <w:rFonts w:hAnsi="宋体" w:cs="宋体"/>
          <w:b/>
          <w:bCs/>
          <w:sz w:val="24"/>
          <w:szCs w:val="24"/>
        </w:rPr>
      </w:pPr>
      <w:r>
        <w:rPr>
          <w:rFonts w:hint="eastAsia" w:hAnsi="宋体" w:eastAsia="宋体" w:cs="宋体"/>
          <w:b/>
          <w:bCs/>
          <w:sz w:val="24"/>
          <w:szCs w:val="24"/>
        </w:rPr>
        <w:t>二、评标办法及评分标准</w:t>
      </w:r>
    </w:p>
    <w:p>
      <w:pPr>
        <w:pStyle w:val="8"/>
        <w:spacing w:line="440" w:lineRule="exact"/>
        <w:ind w:firstLine="480" w:firstLineChars="200"/>
        <w:rPr>
          <w:rFonts w:hAnsi="宋体" w:cs="宋体"/>
          <w:bCs/>
          <w:sz w:val="24"/>
          <w:szCs w:val="24"/>
        </w:rPr>
      </w:pPr>
      <w:r>
        <w:rPr>
          <w:rFonts w:hint="eastAsia" w:hAnsi="宋体" w:eastAsia="宋体" w:cs="宋体"/>
          <w:bCs/>
          <w:sz w:val="24"/>
          <w:szCs w:val="24"/>
        </w:rPr>
        <w:t>（一）对进入详评的，采用综合评分法。</w:t>
      </w:r>
    </w:p>
    <w:p>
      <w:pPr>
        <w:pStyle w:val="8"/>
        <w:spacing w:line="440" w:lineRule="exact"/>
        <w:ind w:firstLine="480" w:firstLineChars="200"/>
        <w:rPr>
          <w:rFonts w:hAnsi="宋体" w:cs="宋体"/>
          <w:bCs/>
          <w:sz w:val="24"/>
          <w:szCs w:val="24"/>
        </w:rPr>
      </w:pPr>
      <w:r>
        <w:rPr>
          <w:rFonts w:hint="eastAsia" w:hAnsi="宋体" w:eastAsia="宋体" w:cs="宋体"/>
          <w:bCs/>
          <w:sz w:val="24"/>
          <w:szCs w:val="24"/>
        </w:rPr>
        <w:t>（二）计分办法（按四舍五入取至小数点后二位）</w:t>
      </w:r>
    </w:p>
    <w:p>
      <w:pPr>
        <w:pStyle w:val="8"/>
        <w:spacing w:line="440" w:lineRule="exact"/>
        <w:ind w:firstLine="482" w:firstLineChars="200"/>
        <w:rPr>
          <w:rFonts w:hAnsi="宋体" w:cs="宋体"/>
          <w:bCs/>
          <w:sz w:val="24"/>
          <w:szCs w:val="24"/>
        </w:rPr>
      </w:pPr>
      <w:r>
        <w:rPr>
          <w:rFonts w:hint="eastAsia" w:hAnsi="宋体" w:eastAsia="宋体" w:cs="宋体"/>
          <w:b/>
          <w:sz w:val="24"/>
          <w:szCs w:val="24"/>
        </w:rPr>
        <w:t xml:space="preserve">1. </w:t>
      </w:r>
      <w:r>
        <w:rPr>
          <w:rFonts w:hint="eastAsia" w:hAnsi="宋体" w:eastAsia="宋体" w:cs="宋体"/>
          <w:b/>
          <w:bCs/>
          <w:sz w:val="24"/>
          <w:szCs w:val="24"/>
        </w:rPr>
        <w:t>价格分……………………………………………………………………………</w:t>
      </w:r>
      <w:r>
        <w:rPr>
          <w:rFonts w:hint="eastAsia" w:hAnsi="宋体" w:eastAsia="宋体" w:cs="宋体"/>
          <w:b/>
          <w:bCs/>
          <w:sz w:val="24"/>
          <w:szCs w:val="24"/>
          <w:lang w:val="en-US" w:eastAsia="zh-CN"/>
        </w:rPr>
        <w:t>35</w:t>
      </w:r>
      <w:r>
        <w:rPr>
          <w:rFonts w:hint="eastAsia" w:hAnsi="宋体" w:eastAsia="宋体" w:cs="宋体"/>
          <w:b/>
          <w:bCs/>
          <w:sz w:val="24"/>
          <w:szCs w:val="24"/>
        </w:rPr>
        <w:t>分</w:t>
      </w:r>
    </w:p>
    <w:p>
      <w:pPr>
        <w:snapToGrid w:val="0"/>
        <w:spacing w:line="440" w:lineRule="exact"/>
        <w:ind w:firstLine="480" w:firstLineChars="200"/>
        <w:rPr>
          <w:rFonts w:ascii="宋体" w:hAnsi="宋体" w:cs="宋体"/>
          <w:bCs/>
          <w:sz w:val="24"/>
        </w:rPr>
      </w:pPr>
      <w:r>
        <w:rPr>
          <w:rFonts w:hint="eastAsia" w:ascii="宋体" w:hAnsi="宋体" w:eastAsia="宋体" w:cs="宋体"/>
          <w:bCs/>
          <w:sz w:val="24"/>
        </w:rPr>
        <w:t>（1）以进入综合评分环节的最低的评标报价为基准价，基准价报价得分为35分。</w:t>
      </w:r>
    </w:p>
    <w:p>
      <w:pPr>
        <w:spacing w:line="440" w:lineRule="exact"/>
        <w:ind w:firstLine="480" w:firstLineChars="200"/>
        <w:rPr>
          <w:rFonts w:ascii="宋体" w:hAnsi="宋体" w:cs="宋体"/>
          <w:bCs/>
          <w:sz w:val="24"/>
        </w:rPr>
      </w:pPr>
      <w:r>
        <w:rPr>
          <w:rFonts w:hint="eastAsia" w:ascii="宋体" w:hAnsi="宋体" w:eastAsia="宋体" w:cs="宋体"/>
          <w:bCs/>
          <w:sz w:val="24"/>
        </w:rPr>
        <w:t xml:space="preserve">（2）价格分计算公式：        </w:t>
      </w:r>
    </w:p>
    <w:p>
      <w:pPr>
        <w:pStyle w:val="8"/>
        <w:spacing w:line="440" w:lineRule="exact"/>
        <w:ind w:firstLine="480" w:firstLineChars="200"/>
        <w:rPr>
          <w:rFonts w:hAnsi="宋体" w:cs="宋体"/>
          <w:b/>
          <w:sz w:val="24"/>
          <w:szCs w:val="24"/>
        </w:rPr>
      </w:pPr>
      <w:r>
        <w:rPr>
          <w:rFonts w:hint="eastAsia" w:hAnsi="宋体" w:eastAsia="宋体" w:cs="宋体"/>
          <w:bCs/>
          <w:sz w:val="24"/>
          <w:szCs w:val="24"/>
        </w:rPr>
        <w:t xml:space="preserve">某投标人价格分=基准价/某投标人评标报价金额×35分 </w:t>
      </w:r>
      <w:r>
        <w:rPr>
          <w:rFonts w:hint="eastAsia" w:hAnsi="宋体" w:eastAsia="宋体" w:cs="宋体"/>
          <w:sz w:val="24"/>
          <w:szCs w:val="24"/>
        </w:rPr>
        <w:t xml:space="preserve">                 　  </w:t>
      </w:r>
      <w:r>
        <w:rPr>
          <w:rFonts w:hint="eastAsia" w:hAnsi="宋体" w:eastAsia="宋体" w:cs="宋体"/>
          <w:b/>
          <w:sz w:val="24"/>
          <w:szCs w:val="24"/>
        </w:rPr>
        <w:t xml:space="preserve">          </w:t>
      </w:r>
    </w:p>
    <w:p>
      <w:pPr>
        <w:pStyle w:val="8"/>
        <w:spacing w:line="440" w:lineRule="exact"/>
        <w:ind w:firstLine="482" w:firstLineChars="200"/>
        <w:rPr>
          <w:rFonts w:hAnsi="宋体" w:cs="宋体"/>
          <w:b/>
          <w:bCs/>
          <w:sz w:val="24"/>
          <w:szCs w:val="24"/>
        </w:rPr>
      </w:pPr>
      <w:r>
        <w:rPr>
          <w:rFonts w:hint="eastAsia" w:hAnsi="宋体" w:eastAsia="宋体" w:cs="宋体"/>
          <w:b/>
          <w:sz w:val="24"/>
          <w:szCs w:val="24"/>
        </w:rPr>
        <w:t xml:space="preserve">2. </w:t>
      </w:r>
      <w:r>
        <w:rPr>
          <w:rFonts w:hint="eastAsia" w:hAnsi="宋体" w:eastAsia="宋体" w:cs="宋体"/>
          <w:b/>
          <w:bCs/>
          <w:sz w:val="24"/>
          <w:szCs w:val="24"/>
        </w:rPr>
        <w:t>样品分……………………………………………………………………………24分</w:t>
      </w:r>
    </w:p>
    <w:p>
      <w:pPr>
        <w:pStyle w:val="8"/>
        <w:spacing w:line="440" w:lineRule="exact"/>
        <w:ind w:firstLine="480" w:firstLineChars="200"/>
        <w:rPr>
          <w:rFonts w:hAnsi="宋体" w:cs="宋体"/>
          <w:sz w:val="24"/>
          <w:szCs w:val="24"/>
        </w:rPr>
      </w:pPr>
      <w:r>
        <w:rPr>
          <w:rFonts w:hint="eastAsia" w:hAnsi="宋体" w:eastAsia="宋体" w:cs="宋体"/>
          <w:sz w:val="24"/>
          <w:szCs w:val="24"/>
        </w:rPr>
        <w:t>（1）</w:t>
      </w:r>
      <w:r>
        <w:rPr>
          <w:rFonts w:hint="eastAsia" w:asciiTheme="minorEastAsia" w:hAnsiTheme="minorEastAsia" w:eastAsiaTheme="minorEastAsia" w:cstheme="minorEastAsia"/>
          <w:b w:val="0"/>
          <w:bCs/>
          <w:color w:val="000000"/>
          <w:sz w:val="24"/>
          <w:szCs w:val="24"/>
        </w:rPr>
        <w:t>【椅面】</w:t>
      </w:r>
      <w:r>
        <w:rPr>
          <w:rFonts w:hint="eastAsia" w:hAnsi="宋体" w:eastAsia="宋体" w:cs="宋体"/>
          <w:sz w:val="24"/>
          <w:szCs w:val="24"/>
        </w:rPr>
        <w:t>小样分</w:t>
      </w:r>
    </w:p>
    <w:p>
      <w:pPr>
        <w:pStyle w:val="8"/>
        <w:spacing w:line="440" w:lineRule="exact"/>
        <w:ind w:firstLine="480" w:firstLineChars="200"/>
        <w:rPr>
          <w:rFonts w:hAnsi="宋体" w:cs="宋体"/>
          <w:sz w:val="24"/>
          <w:szCs w:val="24"/>
        </w:rPr>
      </w:pPr>
      <w:r>
        <w:rPr>
          <w:rFonts w:hint="eastAsia" w:hAnsi="宋体" w:eastAsia="宋体" w:cs="宋体"/>
          <w:sz w:val="24"/>
          <w:szCs w:val="24"/>
        </w:rPr>
        <w:t>由评委根据各投标人所提供</w:t>
      </w:r>
      <w:r>
        <w:rPr>
          <w:rFonts w:hint="eastAsia" w:asciiTheme="minorEastAsia" w:hAnsiTheme="minorEastAsia" w:eastAsiaTheme="minorEastAsia" w:cstheme="minorEastAsia"/>
          <w:b w:val="0"/>
          <w:bCs/>
          <w:color w:val="000000"/>
          <w:sz w:val="24"/>
          <w:szCs w:val="24"/>
        </w:rPr>
        <w:t>椅面</w:t>
      </w:r>
      <w:r>
        <w:rPr>
          <w:rFonts w:hint="eastAsia" w:hAnsi="宋体" w:eastAsia="宋体" w:cs="宋体"/>
          <w:sz w:val="24"/>
          <w:szCs w:val="24"/>
        </w:rPr>
        <w:t>小样的质量情况：①材质用料（1～</w:t>
      </w:r>
      <w:r>
        <w:rPr>
          <w:rFonts w:hint="eastAsia" w:hAnsi="宋体" w:eastAsia="宋体" w:cs="宋体"/>
          <w:sz w:val="24"/>
          <w:szCs w:val="24"/>
          <w:lang w:val="en-US" w:eastAsia="zh-CN"/>
        </w:rPr>
        <w:t>6</w:t>
      </w:r>
      <w:r>
        <w:rPr>
          <w:rFonts w:hint="eastAsia" w:hAnsi="宋体" w:eastAsia="宋体" w:cs="宋体"/>
          <w:sz w:val="24"/>
          <w:szCs w:val="24"/>
        </w:rPr>
        <w:t>分）；②工艺水平（1～</w:t>
      </w:r>
      <w:r>
        <w:rPr>
          <w:rFonts w:hint="eastAsia" w:hAnsi="宋体" w:eastAsia="宋体" w:cs="宋体"/>
          <w:sz w:val="24"/>
          <w:szCs w:val="24"/>
          <w:lang w:val="en-US" w:eastAsia="zh-CN"/>
        </w:rPr>
        <w:t>6</w:t>
      </w:r>
      <w:r>
        <w:rPr>
          <w:rFonts w:hint="eastAsia" w:hAnsi="宋体" w:eastAsia="宋体" w:cs="宋体"/>
          <w:sz w:val="24"/>
          <w:szCs w:val="24"/>
        </w:rPr>
        <w:t>分）等方面进行横向比较，并相应打分。</w:t>
      </w:r>
    </w:p>
    <w:p>
      <w:pPr>
        <w:pStyle w:val="8"/>
        <w:spacing w:line="440" w:lineRule="exact"/>
        <w:ind w:firstLine="480" w:firstLineChars="200"/>
        <w:rPr>
          <w:rFonts w:hAnsi="宋体" w:cs="宋体"/>
          <w:sz w:val="24"/>
          <w:szCs w:val="24"/>
        </w:rPr>
      </w:pPr>
      <w:r>
        <w:rPr>
          <w:rFonts w:hint="eastAsia" w:hAnsi="宋体" w:eastAsia="宋体" w:cs="宋体"/>
          <w:sz w:val="24"/>
          <w:szCs w:val="24"/>
        </w:rPr>
        <w:t>（2）【</w:t>
      </w:r>
      <w:r>
        <w:rPr>
          <w:rFonts w:hint="eastAsia" w:hAnsi="宋体" w:eastAsia="宋体" w:cs="宋体"/>
          <w:sz w:val="24"/>
          <w:szCs w:val="24"/>
          <w:lang w:val="en-US" w:eastAsia="zh-CN"/>
        </w:rPr>
        <w:t>框架</w:t>
      </w:r>
      <w:r>
        <w:rPr>
          <w:rFonts w:hint="eastAsia" w:hAnsi="宋体" w:eastAsia="宋体" w:cs="宋体"/>
          <w:sz w:val="24"/>
          <w:szCs w:val="24"/>
        </w:rPr>
        <w:t>】小样分</w:t>
      </w:r>
    </w:p>
    <w:p>
      <w:pPr>
        <w:pStyle w:val="8"/>
        <w:spacing w:line="440" w:lineRule="exact"/>
        <w:ind w:firstLine="480" w:firstLineChars="200"/>
        <w:rPr>
          <w:rFonts w:hAnsi="宋体" w:cs="宋体"/>
          <w:sz w:val="24"/>
          <w:szCs w:val="24"/>
        </w:rPr>
      </w:pPr>
      <w:r>
        <w:rPr>
          <w:rFonts w:hint="eastAsia" w:hAnsi="宋体" w:eastAsia="宋体" w:cs="宋体"/>
          <w:sz w:val="24"/>
          <w:szCs w:val="24"/>
        </w:rPr>
        <w:t>由评委根据各投标人所提供扶手小样的的质量情况：①材质用料（1～</w:t>
      </w:r>
      <w:r>
        <w:rPr>
          <w:rFonts w:hint="eastAsia" w:hAnsi="宋体" w:eastAsia="宋体" w:cs="宋体"/>
          <w:sz w:val="24"/>
          <w:szCs w:val="24"/>
          <w:lang w:val="en-US" w:eastAsia="zh-CN"/>
        </w:rPr>
        <w:t>6</w:t>
      </w:r>
      <w:r>
        <w:rPr>
          <w:rFonts w:hint="eastAsia" w:hAnsi="宋体" w:eastAsia="宋体" w:cs="宋体"/>
          <w:sz w:val="24"/>
          <w:szCs w:val="24"/>
        </w:rPr>
        <w:t>分）；②工艺水平（1～</w:t>
      </w:r>
      <w:r>
        <w:rPr>
          <w:rFonts w:hint="eastAsia" w:hAnsi="宋体" w:eastAsia="宋体" w:cs="宋体"/>
          <w:sz w:val="24"/>
          <w:szCs w:val="24"/>
          <w:lang w:val="en-US" w:eastAsia="zh-CN"/>
        </w:rPr>
        <w:t>6</w:t>
      </w:r>
      <w:r>
        <w:rPr>
          <w:rFonts w:hint="eastAsia" w:hAnsi="宋体" w:eastAsia="宋体" w:cs="宋体"/>
          <w:sz w:val="24"/>
          <w:szCs w:val="24"/>
        </w:rPr>
        <w:t>分）等方面进行横向比较，并相应打分。</w:t>
      </w:r>
    </w:p>
    <w:p>
      <w:pPr>
        <w:spacing w:line="440" w:lineRule="exact"/>
        <w:ind w:firstLine="482" w:firstLineChars="200"/>
        <w:rPr>
          <w:rFonts w:ascii="宋体" w:hAnsi="宋体" w:cs="宋体"/>
          <w:sz w:val="24"/>
        </w:rPr>
      </w:pPr>
      <w:r>
        <w:rPr>
          <w:rFonts w:hint="eastAsia" w:ascii="宋体" w:hAnsi="宋体" w:eastAsia="宋体" w:cs="宋体"/>
          <w:b/>
          <w:sz w:val="24"/>
        </w:rPr>
        <w:t>3.履约能力保障分……………………………………………………………………</w:t>
      </w:r>
      <w:r>
        <w:rPr>
          <w:rFonts w:hint="eastAsia" w:ascii="宋体" w:hAnsi="宋体" w:cs="宋体"/>
          <w:b/>
          <w:sz w:val="24"/>
        </w:rPr>
        <w:t>24</w:t>
      </w:r>
      <w:r>
        <w:rPr>
          <w:rFonts w:hint="eastAsia" w:ascii="宋体" w:hAnsi="宋体" w:eastAsia="宋体" w:cs="宋体"/>
          <w:sz w:val="24"/>
        </w:rPr>
        <w:t>分</w:t>
      </w:r>
    </w:p>
    <w:p>
      <w:pPr>
        <w:pStyle w:val="8"/>
        <w:spacing w:line="440" w:lineRule="exact"/>
        <w:ind w:firstLine="480" w:firstLineChars="200"/>
        <w:rPr>
          <w:rFonts w:hAnsi="宋体" w:cs="宋体"/>
          <w:sz w:val="24"/>
          <w:szCs w:val="24"/>
        </w:rPr>
      </w:pPr>
      <w:r>
        <w:rPr>
          <w:rFonts w:hint="eastAsia" w:hAnsi="宋体" w:eastAsia="宋体" w:cs="宋体"/>
          <w:sz w:val="24"/>
          <w:szCs w:val="24"/>
        </w:rPr>
        <w:t>（1）信誉分(8分）：</w:t>
      </w:r>
    </w:p>
    <w:p>
      <w:pPr>
        <w:pStyle w:val="8"/>
        <w:spacing w:line="440" w:lineRule="exact"/>
        <w:ind w:firstLine="480" w:firstLineChars="200"/>
        <w:rPr>
          <w:rFonts w:hAnsi="宋体" w:cs="宋体"/>
          <w:sz w:val="24"/>
          <w:szCs w:val="24"/>
        </w:rPr>
      </w:pPr>
      <w:r>
        <w:rPr>
          <w:rFonts w:hint="eastAsia" w:hAnsi="宋体" w:eastAsia="宋体" w:cs="宋体"/>
          <w:sz w:val="24"/>
          <w:szCs w:val="24"/>
        </w:rPr>
        <w:t>①投标人或生产厂家获得</w:t>
      </w:r>
      <w:r>
        <w:rPr>
          <w:rFonts w:hint="eastAsia" w:hAnsi="宋体" w:eastAsia="宋体" w:cs="宋体"/>
          <w:color w:val="000000"/>
          <w:kern w:val="0"/>
          <w:sz w:val="24"/>
          <w:szCs w:val="24"/>
        </w:rPr>
        <w:t>ISO9001质量管理体系认证</w:t>
      </w:r>
      <w:r>
        <w:rPr>
          <w:rFonts w:hint="eastAsia" w:hAnsi="宋体" w:eastAsia="宋体" w:cs="宋体"/>
          <w:sz w:val="24"/>
          <w:szCs w:val="24"/>
        </w:rPr>
        <w:t>得</w:t>
      </w:r>
      <w:r>
        <w:rPr>
          <w:rFonts w:hint="eastAsia" w:hAnsi="宋体" w:eastAsia="宋体" w:cs="宋体"/>
          <w:sz w:val="24"/>
          <w:szCs w:val="24"/>
          <w:lang w:val="en-US" w:eastAsia="zh-CN"/>
        </w:rPr>
        <w:t>2</w:t>
      </w:r>
      <w:r>
        <w:rPr>
          <w:rFonts w:hint="eastAsia" w:hAnsi="宋体" w:eastAsia="宋体" w:cs="宋体"/>
          <w:sz w:val="24"/>
          <w:szCs w:val="24"/>
        </w:rPr>
        <w:t xml:space="preserve">分。     </w:t>
      </w:r>
    </w:p>
    <w:p>
      <w:pPr>
        <w:pStyle w:val="8"/>
        <w:spacing w:line="440" w:lineRule="exact"/>
        <w:ind w:firstLine="480" w:firstLineChars="200"/>
        <w:rPr>
          <w:rFonts w:hAnsi="宋体" w:cs="宋体"/>
          <w:sz w:val="24"/>
          <w:szCs w:val="24"/>
        </w:rPr>
      </w:pPr>
      <w:r>
        <w:rPr>
          <w:rFonts w:hint="eastAsia" w:hAnsi="宋体" w:cs="宋体"/>
          <w:sz w:val="24"/>
          <w:szCs w:val="24"/>
        </w:rPr>
        <w:fldChar w:fldCharType="begin"/>
      </w:r>
      <w:r>
        <w:rPr>
          <w:rFonts w:hint="eastAsia" w:hAnsi="宋体" w:eastAsia="宋体" w:cs="宋体"/>
          <w:sz w:val="24"/>
          <w:szCs w:val="24"/>
        </w:rPr>
        <w:instrText xml:space="preserve"> = 2 \* GB3 </w:instrText>
      </w:r>
      <w:r>
        <w:rPr>
          <w:rFonts w:hint="eastAsia" w:hAnsi="宋体" w:cs="宋体"/>
          <w:sz w:val="24"/>
          <w:szCs w:val="24"/>
        </w:rPr>
        <w:fldChar w:fldCharType="separate"/>
      </w:r>
      <w:r>
        <w:rPr>
          <w:rFonts w:hint="eastAsia" w:hAnsi="宋体" w:eastAsia="宋体" w:cs="宋体"/>
          <w:sz w:val="24"/>
          <w:szCs w:val="24"/>
        </w:rPr>
        <w:t>②</w:t>
      </w:r>
      <w:r>
        <w:rPr>
          <w:rFonts w:hint="eastAsia" w:hAnsi="宋体" w:cs="宋体"/>
          <w:sz w:val="24"/>
          <w:szCs w:val="24"/>
        </w:rPr>
        <w:fldChar w:fldCharType="end"/>
      </w:r>
      <w:r>
        <w:rPr>
          <w:rFonts w:hint="eastAsia" w:hAnsi="宋体" w:eastAsia="宋体" w:cs="宋体"/>
          <w:sz w:val="24"/>
          <w:szCs w:val="24"/>
        </w:rPr>
        <w:t>投标人或生产厂家获得</w:t>
      </w:r>
      <w:r>
        <w:rPr>
          <w:rFonts w:hint="eastAsia" w:hAnsi="宋体" w:eastAsia="宋体" w:cs="宋体"/>
          <w:color w:val="000000"/>
          <w:kern w:val="0"/>
          <w:sz w:val="24"/>
          <w:szCs w:val="24"/>
        </w:rPr>
        <w:t>ISO14001环境管理体系认证</w:t>
      </w:r>
      <w:r>
        <w:rPr>
          <w:rFonts w:hint="eastAsia" w:hAnsi="宋体" w:eastAsia="宋体" w:cs="宋体"/>
          <w:sz w:val="24"/>
          <w:szCs w:val="24"/>
        </w:rPr>
        <w:t>得</w:t>
      </w:r>
      <w:r>
        <w:rPr>
          <w:rFonts w:hint="eastAsia" w:hAnsi="宋体" w:eastAsia="宋体" w:cs="宋体"/>
          <w:sz w:val="24"/>
          <w:szCs w:val="24"/>
          <w:lang w:val="en-US" w:eastAsia="zh-CN"/>
        </w:rPr>
        <w:t>2</w:t>
      </w:r>
      <w:r>
        <w:rPr>
          <w:rFonts w:hint="eastAsia" w:hAnsi="宋体" w:eastAsia="宋体" w:cs="宋体"/>
          <w:sz w:val="24"/>
          <w:szCs w:val="24"/>
        </w:rPr>
        <w:t>分。</w:t>
      </w:r>
    </w:p>
    <w:p>
      <w:pPr>
        <w:pStyle w:val="8"/>
        <w:spacing w:line="440" w:lineRule="exact"/>
        <w:ind w:firstLine="480" w:firstLineChars="200"/>
        <w:rPr>
          <w:rFonts w:hAnsi="宋体" w:cs="宋体"/>
          <w:sz w:val="24"/>
          <w:szCs w:val="24"/>
        </w:rPr>
      </w:pPr>
      <w:r>
        <w:rPr>
          <w:rFonts w:hint="eastAsia" w:hAnsi="宋体" w:eastAsia="宋体" w:cs="宋体"/>
          <w:sz w:val="24"/>
          <w:szCs w:val="24"/>
        </w:rPr>
        <w:t>③投标人或生产厂家获得五星级服务认证证书得2分。</w:t>
      </w:r>
    </w:p>
    <w:p>
      <w:pPr>
        <w:pStyle w:val="8"/>
        <w:spacing w:line="440" w:lineRule="exact"/>
        <w:ind w:firstLine="480" w:firstLineChars="200"/>
        <w:rPr>
          <w:rFonts w:hAnsi="宋体" w:cs="宋体"/>
          <w:sz w:val="24"/>
          <w:szCs w:val="24"/>
        </w:rPr>
      </w:pPr>
      <w:r>
        <w:rPr>
          <w:rFonts w:hint="eastAsia" w:hAnsi="宋体" w:eastAsia="宋体" w:cs="宋体"/>
          <w:bCs/>
          <w:sz w:val="24"/>
          <w:szCs w:val="24"/>
        </w:rPr>
        <w:t>④</w:t>
      </w:r>
      <w:r>
        <w:rPr>
          <w:rFonts w:hint="eastAsia" w:hAnsi="宋体" w:eastAsia="宋体" w:cs="宋体"/>
          <w:sz w:val="24"/>
          <w:szCs w:val="24"/>
        </w:rPr>
        <w:t>投标人所投产品通过中国环保产品认证证书（木制家具、金属家具、软体家具）得2分。</w:t>
      </w:r>
    </w:p>
    <w:p>
      <w:pPr>
        <w:pStyle w:val="8"/>
        <w:numPr>
          <w:ilvl w:val="0"/>
          <w:numId w:val="1"/>
        </w:numPr>
        <w:spacing w:line="440" w:lineRule="exact"/>
        <w:ind w:firstLine="480" w:firstLineChars="200"/>
        <w:rPr>
          <w:rFonts w:hAnsi="宋体" w:cs="宋体"/>
          <w:sz w:val="24"/>
          <w:szCs w:val="24"/>
        </w:rPr>
      </w:pPr>
      <w:r>
        <w:rPr>
          <w:rFonts w:hint="eastAsia" w:hAnsi="宋体" w:eastAsia="宋体" w:cs="宋体"/>
          <w:sz w:val="24"/>
          <w:szCs w:val="24"/>
        </w:rPr>
        <w:t>业绩分（1</w:t>
      </w:r>
      <w:r>
        <w:rPr>
          <w:rFonts w:hint="eastAsia" w:hAnsi="宋体" w:cs="宋体"/>
          <w:sz w:val="24"/>
          <w:szCs w:val="24"/>
        </w:rPr>
        <w:t>6</w:t>
      </w:r>
      <w:r>
        <w:rPr>
          <w:rFonts w:hint="eastAsia" w:hAnsi="宋体" w:eastAsia="宋体" w:cs="宋体"/>
          <w:sz w:val="24"/>
          <w:szCs w:val="24"/>
        </w:rPr>
        <w:t>分）：</w:t>
      </w:r>
    </w:p>
    <w:p>
      <w:pPr>
        <w:pStyle w:val="8"/>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eastAsia="宋体" w:cs="宋体"/>
          <w:sz w:val="24"/>
          <w:szCs w:val="24"/>
        </w:rPr>
        <w:t>①</w:t>
      </w:r>
      <w:r>
        <w:rPr>
          <w:rFonts w:hint="eastAsia" w:hAnsi="宋体" w:cs="宋体"/>
          <w:sz w:val="24"/>
          <w:szCs w:val="24"/>
        </w:rPr>
        <w:t>2020年以来</w:t>
      </w:r>
      <w:r>
        <w:rPr>
          <w:rFonts w:hint="eastAsia" w:hAnsi="宋体" w:eastAsia="宋体" w:cs="宋体"/>
          <w:sz w:val="24"/>
          <w:szCs w:val="24"/>
        </w:rPr>
        <w:t>投标人具有三甲医院家具</w:t>
      </w:r>
      <w:r>
        <w:rPr>
          <w:rFonts w:hint="eastAsia" w:hAnsi="宋体" w:cs="宋体"/>
          <w:sz w:val="24"/>
          <w:szCs w:val="24"/>
        </w:rPr>
        <w:t>类</w:t>
      </w:r>
      <w:r>
        <w:rPr>
          <w:rFonts w:hint="eastAsia" w:hAnsi="宋体" w:eastAsia="宋体" w:cs="宋体"/>
          <w:sz w:val="24"/>
          <w:szCs w:val="24"/>
        </w:rPr>
        <w:t>销售业绩</w:t>
      </w:r>
      <w:r>
        <w:rPr>
          <w:rFonts w:hint="eastAsia" w:hAnsi="宋体" w:cs="宋体"/>
          <w:sz w:val="24"/>
          <w:szCs w:val="24"/>
        </w:rPr>
        <w:t>且≥10万元</w:t>
      </w:r>
      <w:r>
        <w:rPr>
          <w:rFonts w:hint="eastAsia" w:hAnsi="宋体" w:eastAsia="宋体" w:cs="宋体"/>
          <w:sz w:val="24"/>
          <w:szCs w:val="24"/>
        </w:rPr>
        <w:t>得</w:t>
      </w:r>
      <w:r>
        <w:rPr>
          <w:rFonts w:hint="eastAsia" w:hAnsi="宋体" w:cs="宋体"/>
          <w:sz w:val="24"/>
          <w:szCs w:val="24"/>
        </w:rPr>
        <w:t>10</w:t>
      </w:r>
      <w:r>
        <w:rPr>
          <w:rFonts w:hint="eastAsia" w:hAnsi="宋体" w:eastAsia="宋体" w:cs="宋体"/>
          <w:sz w:val="24"/>
          <w:szCs w:val="24"/>
        </w:rPr>
        <w:t>分，投标人具有三甲医院家具销售业绩</w:t>
      </w:r>
      <w:r>
        <w:rPr>
          <w:rFonts w:hint="eastAsia" w:hAnsi="宋体" w:cs="宋体"/>
          <w:sz w:val="24"/>
          <w:szCs w:val="24"/>
        </w:rPr>
        <w:t>且＜10万元</w:t>
      </w:r>
      <w:r>
        <w:rPr>
          <w:rFonts w:hint="eastAsia" w:hAnsi="宋体" w:eastAsia="宋体" w:cs="宋体"/>
          <w:sz w:val="24"/>
          <w:szCs w:val="24"/>
        </w:rPr>
        <w:t>得</w:t>
      </w:r>
      <w:r>
        <w:rPr>
          <w:rFonts w:hint="eastAsia" w:hAnsi="宋体" w:cs="宋体"/>
          <w:sz w:val="24"/>
          <w:szCs w:val="24"/>
        </w:rPr>
        <w:t>5</w:t>
      </w:r>
      <w:r>
        <w:rPr>
          <w:rFonts w:hint="eastAsia" w:hAnsi="宋体" w:eastAsia="宋体" w:cs="宋体"/>
          <w:sz w:val="24"/>
          <w:szCs w:val="24"/>
        </w:rPr>
        <w:t>分</w:t>
      </w:r>
      <w:r>
        <w:rPr>
          <w:rFonts w:hint="eastAsia" w:hAnsi="宋体" w:cs="宋体"/>
          <w:sz w:val="24"/>
          <w:szCs w:val="24"/>
        </w:rPr>
        <w:t>，</w:t>
      </w:r>
      <w:r>
        <w:rPr>
          <w:rFonts w:hint="eastAsia" w:hAnsi="宋体" w:eastAsia="宋体" w:cs="宋体"/>
          <w:sz w:val="24"/>
          <w:szCs w:val="24"/>
        </w:rPr>
        <w:t>无相关销售经验的得1分</w:t>
      </w:r>
      <w:r>
        <w:rPr>
          <w:rFonts w:hint="eastAsia" w:hAnsi="宋体" w:cs="宋体"/>
          <w:sz w:val="24"/>
          <w:szCs w:val="24"/>
        </w:rPr>
        <w:t>。</w:t>
      </w:r>
      <w:r>
        <w:rPr>
          <w:rFonts w:hint="eastAsia" w:hAnsi="宋体" w:eastAsia="宋体" w:cs="宋体"/>
          <w:color w:val="000000" w:themeColor="text1"/>
          <w:sz w:val="24"/>
          <w:szCs w:val="24"/>
          <w14:textFill>
            <w14:solidFill>
              <w14:schemeClr w14:val="tx1"/>
            </w14:solidFill>
          </w14:textFill>
        </w:rPr>
        <w:t>（</w:t>
      </w:r>
      <w:r>
        <w:rPr>
          <w:rFonts w:hint="eastAsia" w:hAnsi="宋体" w:cs="宋体"/>
          <w:sz w:val="24"/>
          <w:szCs w:val="24"/>
        </w:rPr>
        <w:t>以中标通知书或合同为准</w:t>
      </w:r>
      <w:r>
        <w:rPr>
          <w:rFonts w:hint="eastAsia" w:hAnsi="宋体" w:cs="宋体"/>
          <w:color w:val="000000" w:themeColor="text1"/>
          <w:sz w:val="24"/>
          <w:szCs w:val="24"/>
          <w14:textFill>
            <w14:solidFill>
              <w14:schemeClr w14:val="tx1"/>
            </w14:solidFill>
          </w14:textFill>
        </w:rPr>
        <w:t>，原件备查</w:t>
      </w:r>
      <w:r>
        <w:rPr>
          <w:rFonts w:hint="eastAsia" w:hAnsi="宋体" w:eastAsia="宋体" w:cs="宋体"/>
          <w:bCs/>
          <w:color w:val="000000" w:themeColor="text1"/>
          <w:sz w:val="24"/>
          <w:szCs w:val="24"/>
          <w14:textFill>
            <w14:solidFill>
              <w14:schemeClr w14:val="tx1"/>
            </w14:solidFill>
          </w14:textFill>
        </w:rPr>
        <w:t>）</w:t>
      </w:r>
    </w:p>
    <w:p>
      <w:pPr>
        <w:pStyle w:val="8"/>
        <w:spacing w:line="440" w:lineRule="exact"/>
        <w:ind w:firstLine="480" w:firstLineChars="200"/>
        <w:rPr>
          <w:rFonts w:hAnsi="宋体" w:cs="宋体"/>
          <w:sz w:val="24"/>
          <w:szCs w:val="24"/>
        </w:rPr>
      </w:pPr>
      <w:r>
        <w:rPr>
          <w:rFonts w:hint="eastAsia" w:hAnsi="宋体" w:eastAsia="宋体" w:cs="宋体"/>
          <w:sz w:val="24"/>
          <w:szCs w:val="24"/>
        </w:rPr>
        <w:t>②</w:t>
      </w:r>
      <w:r>
        <w:rPr>
          <w:rFonts w:hAnsi="宋体" w:eastAsia="宋体" w:cs="宋体"/>
          <w:sz w:val="24"/>
          <w:szCs w:val="24"/>
        </w:rPr>
        <w:t>2020年以来投标人具有非三甲医院家具类销售业绩，中标总金额＞5万元且≤</w:t>
      </w:r>
      <w:r>
        <w:rPr>
          <w:rFonts w:hint="eastAsia" w:hAnsi="宋体" w:cs="宋体"/>
          <w:sz w:val="24"/>
          <w:szCs w:val="24"/>
        </w:rPr>
        <w:t>20</w:t>
      </w:r>
      <w:r>
        <w:rPr>
          <w:rFonts w:hAnsi="宋体" w:eastAsia="宋体" w:cs="宋体"/>
          <w:sz w:val="24"/>
          <w:szCs w:val="24"/>
        </w:rPr>
        <w:t>万元，每个项目得1分，满分3分；中标总金额＞</w:t>
      </w:r>
      <w:r>
        <w:rPr>
          <w:rFonts w:hint="eastAsia" w:hAnsi="宋体" w:cs="宋体"/>
          <w:sz w:val="24"/>
          <w:szCs w:val="24"/>
        </w:rPr>
        <w:t>20</w:t>
      </w:r>
      <w:r>
        <w:rPr>
          <w:rFonts w:hAnsi="宋体" w:eastAsia="宋体" w:cs="宋体"/>
          <w:sz w:val="24"/>
          <w:szCs w:val="24"/>
        </w:rPr>
        <w:t>万元,每个项目得1分,满分3分。（以中标通知书或合同为准，原件备查） </w:t>
      </w:r>
    </w:p>
    <w:p>
      <w:pPr>
        <w:spacing w:line="440" w:lineRule="exact"/>
        <w:ind w:firstLine="482" w:firstLineChars="200"/>
        <w:rPr>
          <w:rFonts w:ascii="宋体" w:hAnsi="宋体" w:cs="宋体"/>
          <w:b/>
          <w:sz w:val="24"/>
        </w:rPr>
      </w:pPr>
      <w:r>
        <w:rPr>
          <w:rFonts w:hint="eastAsia" w:ascii="宋体" w:hAnsi="宋体" w:eastAsia="宋体" w:cs="宋体"/>
          <w:b/>
          <w:sz w:val="24"/>
        </w:rPr>
        <w:t>4.售后服务分…………………………………………………………………………</w:t>
      </w:r>
      <w:r>
        <w:rPr>
          <w:rFonts w:hint="eastAsia" w:ascii="宋体" w:hAnsi="宋体" w:cs="宋体"/>
          <w:b/>
          <w:sz w:val="24"/>
        </w:rPr>
        <w:t>17</w:t>
      </w:r>
      <w:r>
        <w:rPr>
          <w:rFonts w:hint="eastAsia" w:ascii="宋体" w:hAnsi="宋体" w:eastAsia="宋体" w:cs="宋体"/>
          <w:b/>
          <w:sz w:val="24"/>
        </w:rPr>
        <w:t>分</w:t>
      </w:r>
    </w:p>
    <w:p>
      <w:pPr>
        <w:pStyle w:val="8"/>
        <w:spacing w:line="440" w:lineRule="exact"/>
        <w:ind w:firstLine="480" w:firstLineChars="200"/>
        <w:rPr>
          <w:rFonts w:hAnsi="宋体" w:cs="宋体"/>
          <w:sz w:val="24"/>
          <w:szCs w:val="24"/>
        </w:rPr>
      </w:pPr>
      <w:r>
        <w:rPr>
          <w:rFonts w:hint="eastAsia" w:hAnsi="宋体" w:eastAsia="宋体" w:cs="宋体"/>
          <w:sz w:val="24"/>
          <w:szCs w:val="24"/>
        </w:rPr>
        <w:t>（1）由评委根据各投标人提供的“售后服务承诺书”中技术培训方案、出现故障解决方案、本地售后服务保障、免费保修期外维修方案（含零配件供应方案）、其他增值售后服务或其它实质性优惠措施内容：①针对性（1～</w:t>
      </w:r>
      <w:r>
        <w:rPr>
          <w:rFonts w:hint="eastAsia" w:hAnsi="宋体" w:cs="宋体"/>
          <w:sz w:val="24"/>
          <w:szCs w:val="24"/>
        </w:rPr>
        <w:t>6</w:t>
      </w:r>
      <w:r>
        <w:rPr>
          <w:rFonts w:hint="eastAsia" w:hAnsi="宋体" w:eastAsia="宋体" w:cs="宋体"/>
          <w:sz w:val="24"/>
          <w:szCs w:val="24"/>
        </w:rPr>
        <w:t>分）；②可行性（1～</w:t>
      </w:r>
      <w:r>
        <w:rPr>
          <w:rFonts w:hint="eastAsia" w:hAnsi="宋体" w:cs="宋体"/>
          <w:sz w:val="24"/>
          <w:szCs w:val="24"/>
        </w:rPr>
        <w:t>6</w:t>
      </w:r>
      <w:r>
        <w:rPr>
          <w:rFonts w:hint="eastAsia" w:hAnsi="宋体" w:eastAsia="宋体" w:cs="宋体"/>
          <w:sz w:val="24"/>
          <w:szCs w:val="24"/>
        </w:rPr>
        <w:t>分）等方面进行横向比较。</w:t>
      </w:r>
    </w:p>
    <w:p>
      <w:pPr>
        <w:pStyle w:val="8"/>
        <w:spacing w:line="440" w:lineRule="exact"/>
        <w:ind w:firstLine="480" w:firstLineChars="200"/>
        <w:rPr>
          <w:rFonts w:hAnsi="宋体" w:cs="宋体"/>
          <w:sz w:val="24"/>
          <w:szCs w:val="24"/>
        </w:rPr>
      </w:pPr>
      <w:r>
        <w:rPr>
          <w:rFonts w:hint="eastAsia" w:hAnsi="宋体" w:eastAsia="宋体" w:cs="宋体"/>
          <w:sz w:val="24"/>
          <w:szCs w:val="24"/>
        </w:rPr>
        <w:t>（2）承诺更长</w:t>
      </w:r>
      <w:r>
        <w:rPr>
          <w:rFonts w:hint="eastAsia" w:hAnsi="宋体" w:cs="宋体"/>
          <w:sz w:val="24"/>
          <w:szCs w:val="24"/>
        </w:rPr>
        <w:t>保</w:t>
      </w:r>
      <w:r>
        <w:rPr>
          <w:rFonts w:hint="eastAsia" w:hAnsi="宋体" w:eastAsia="宋体" w:cs="宋体"/>
          <w:sz w:val="24"/>
          <w:szCs w:val="24"/>
        </w:rPr>
        <w:t>修期（满</w:t>
      </w:r>
      <w:r>
        <w:rPr>
          <w:rFonts w:hint="eastAsia" w:hAnsi="宋体" w:cs="宋体"/>
          <w:sz w:val="24"/>
          <w:szCs w:val="24"/>
        </w:rPr>
        <w:t>5</w:t>
      </w:r>
      <w:r>
        <w:rPr>
          <w:rFonts w:hint="eastAsia" w:hAnsi="宋体" w:eastAsia="宋体" w:cs="宋体"/>
          <w:sz w:val="24"/>
          <w:szCs w:val="24"/>
        </w:rPr>
        <w:t>分）</w:t>
      </w:r>
    </w:p>
    <w:p>
      <w:pPr>
        <w:pStyle w:val="8"/>
        <w:spacing w:line="440" w:lineRule="exact"/>
        <w:ind w:firstLine="480" w:firstLineChars="200"/>
        <w:rPr>
          <w:rFonts w:hAnsi="宋体" w:cs="宋体"/>
          <w:sz w:val="24"/>
          <w:szCs w:val="24"/>
        </w:rPr>
      </w:pPr>
      <w:r>
        <w:rPr>
          <w:rFonts w:hint="eastAsia" w:hAnsi="宋体" w:cs="宋体"/>
          <w:sz w:val="24"/>
          <w:szCs w:val="24"/>
        </w:rPr>
        <w:t>承诺三年</w:t>
      </w:r>
      <w:r>
        <w:rPr>
          <w:rFonts w:hint="eastAsia" w:hAnsi="宋体" w:eastAsia="宋体" w:cs="宋体"/>
          <w:sz w:val="24"/>
          <w:szCs w:val="24"/>
        </w:rPr>
        <w:t>免费保修期的</w:t>
      </w:r>
      <w:r>
        <w:rPr>
          <w:rFonts w:hint="eastAsia" w:hAnsi="宋体" w:cs="宋体"/>
          <w:sz w:val="24"/>
          <w:szCs w:val="24"/>
        </w:rPr>
        <w:t>得2分，</w:t>
      </w:r>
      <w:r>
        <w:rPr>
          <w:rFonts w:hint="eastAsia" w:hAnsi="宋体" w:eastAsia="宋体" w:cs="宋体"/>
          <w:sz w:val="24"/>
          <w:szCs w:val="24"/>
        </w:rPr>
        <w:t>能够额外延长保修时间的</w:t>
      </w:r>
      <w:r>
        <w:rPr>
          <w:rFonts w:hint="eastAsia" w:hAnsi="宋体" w:cs="宋体"/>
          <w:sz w:val="24"/>
          <w:szCs w:val="24"/>
        </w:rPr>
        <w:t>每增加一年加1分</w:t>
      </w:r>
      <w:r>
        <w:rPr>
          <w:rFonts w:hint="eastAsia" w:hAnsi="宋体" w:eastAsia="宋体" w:cs="宋体"/>
          <w:sz w:val="24"/>
          <w:szCs w:val="24"/>
        </w:rPr>
        <w:t>（1～</w:t>
      </w:r>
      <w:r>
        <w:rPr>
          <w:rFonts w:hint="eastAsia" w:hAnsi="宋体" w:cs="宋体"/>
          <w:sz w:val="24"/>
          <w:szCs w:val="24"/>
        </w:rPr>
        <w:t>3</w:t>
      </w:r>
      <w:r>
        <w:rPr>
          <w:rFonts w:hint="eastAsia" w:hAnsi="宋体" w:eastAsia="宋体" w:cs="宋体"/>
          <w:sz w:val="24"/>
          <w:szCs w:val="24"/>
        </w:rPr>
        <w:t>分）</w:t>
      </w:r>
      <w:r>
        <w:rPr>
          <w:rFonts w:hint="eastAsia" w:hAnsi="宋体" w:cs="宋体"/>
          <w:sz w:val="24"/>
          <w:szCs w:val="24"/>
        </w:rPr>
        <w:t>，满分5分。</w:t>
      </w:r>
    </w:p>
    <w:p>
      <w:pPr>
        <w:spacing w:line="440" w:lineRule="exact"/>
        <w:ind w:firstLine="482" w:firstLineChars="200"/>
        <w:rPr>
          <w:rFonts w:ascii="宋体" w:hAnsi="宋体" w:cs="宋体"/>
          <w:sz w:val="24"/>
        </w:rPr>
      </w:pPr>
      <w:r>
        <w:rPr>
          <w:rFonts w:hint="eastAsia" w:ascii="宋体" w:hAnsi="宋体" w:eastAsia="宋体" w:cs="宋体"/>
          <w:b/>
          <w:kern w:val="0"/>
          <w:sz w:val="24"/>
        </w:rPr>
        <w:t>5.</w:t>
      </w:r>
      <w:r>
        <w:rPr>
          <w:rFonts w:hint="eastAsia" w:ascii="宋体" w:hAnsi="宋体" w:eastAsia="宋体" w:cs="宋体"/>
          <w:b/>
          <w:kern w:val="0"/>
          <w:sz w:val="24"/>
          <w:lang w:val="en-US" w:eastAsia="zh-CN"/>
        </w:rPr>
        <w:t>综合得分</w:t>
      </w:r>
      <w:r>
        <w:rPr>
          <w:rFonts w:hint="eastAsia" w:ascii="宋体" w:hAnsi="宋体" w:eastAsia="宋体" w:cs="宋体"/>
          <w:b/>
          <w:kern w:val="0"/>
          <w:sz w:val="24"/>
        </w:rPr>
        <w:t>=1+2+3+4</w:t>
      </w:r>
    </w:p>
    <w:p>
      <w:pPr>
        <w:pStyle w:val="8"/>
        <w:spacing w:line="440" w:lineRule="exact"/>
        <w:ind w:firstLine="614" w:firstLineChars="255"/>
        <w:rPr>
          <w:rFonts w:hAnsi="宋体" w:cs="宋体"/>
          <w:b/>
          <w:sz w:val="24"/>
          <w:szCs w:val="24"/>
        </w:rPr>
      </w:pPr>
      <w:r>
        <w:rPr>
          <w:rFonts w:hint="eastAsia" w:hAnsi="宋体" w:eastAsia="宋体" w:cs="宋体"/>
          <w:b/>
          <w:sz w:val="24"/>
          <w:szCs w:val="24"/>
        </w:rPr>
        <w:t>三、推荐及确定中标候选人原则</w:t>
      </w:r>
    </w:p>
    <w:p>
      <w:pPr>
        <w:pStyle w:val="8"/>
        <w:spacing w:line="440" w:lineRule="exact"/>
        <w:ind w:firstLine="502" w:firstLineChars="213"/>
        <w:rPr>
          <w:rFonts w:hAnsi="宋体" w:cs="宋体"/>
          <w:spacing w:val="-2"/>
          <w:sz w:val="24"/>
          <w:szCs w:val="24"/>
        </w:rPr>
      </w:pPr>
      <w:r>
        <w:rPr>
          <w:rFonts w:hint="eastAsia" w:hAnsi="宋体" w:eastAsia="宋体" w:cs="宋体"/>
          <w:spacing w:val="-2"/>
          <w:sz w:val="24"/>
          <w:szCs w:val="24"/>
        </w:rPr>
        <w:t>（1）</w:t>
      </w:r>
      <w:r>
        <w:rPr>
          <w:rFonts w:hint="eastAsia" w:hAnsi="宋体" w:cs="宋体"/>
          <w:spacing w:val="-2"/>
          <w:sz w:val="24"/>
          <w:szCs w:val="24"/>
        </w:rPr>
        <w:t>询价小组</w:t>
      </w:r>
      <w:r>
        <w:rPr>
          <w:rFonts w:hint="eastAsia" w:hAnsi="宋体" w:eastAsia="宋体" w:cs="宋体"/>
          <w:spacing w:val="-2"/>
          <w:sz w:val="24"/>
          <w:szCs w:val="24"/>
        </w:rPr>
        <w:t>根据综合得分由高到低排列次序，若得分相同时，按投标报价由低到高顺序排列；若得分相同且投标报价相同的并列</w:t>
      </w:r>
      <w:r>
        <w:rPr>
          <w:rFonts w:hint="eastAsia" w:hAnsi="宋体" w:cs="宋体"/>
          <w:spacing w:val="-2"/>
          <w:sz w:val="24"/>
          <w:szCs w:val="24"/>
        </w:rPr>
        <w:t>，</w:t>
      </w:r>
      <w:r>
        <w:rPr>
          <w:rFonts w:hint="eastAsia" w:hAnsi="宋体" w:eastAsia="宋体" w:cs="宋体"/>
          <w:spacing w:val="-2"/>
          <w:sz w:val="24"/>
          <w:szCs w:val="24"/>
        </w:rPr>
        <w:t>投标文件满足询价文件全部实质性要求，且按照</w:t>
      </w:r>
      <w:r>
        <w:rPr>
          <w:rFonts w:hint="eastAsia" w:hAnsi="宋体" w:eastAsia="宋体" w:cs="宋体"/>
          <w:bCs/>
          <w:color w:val="000000" w:themeColor="text1"/>
          <w:sz w:val="24"/>
          <w:szCs w:val="24"/>
          <w14:textFill>
            <w14:solidFill>
              <w14:schemeClr w14:val="tx1"/>
            </w14:solidFill>
          </w14:textFill>
        </w:rPr>
        <w:t>履约能力保障分</w:t>
      </w:r>
      <w:r>
        <w:rPr>
          <w:rFonts w:hint="eastAsia" w:hAnsi="宋体" w:eastAsia="宋体" w:cs="宋体"/>
          <w:spacing w:val="-2"/>
          <w:sz w:val="24"/>
          <w:szCs w:val="24"/>
        </w:rPr>
        <w:t>评审因素的量化指标评审得分最高的投标人为排名第一的中标候选人。</w:t>
      </w:r>
    </w:p>
    <w:p>
      <w:pPr>
        <w:pStyle w:val="8"/>
        <w:tabs>
          <w:tab w:val="left" w:pos="4214"/>
        </w:tabs>
        <w:spacing w:line="440" w:lineRule="exact"/>
        <w:ind w:firstLine="480" w:firstLineChars="200"/>
        <w:rPr>
          <w:rFonts w:hAnsi="宋体" w:cs="宋体"/>
          <w:sz w:val="24"/>
          <w:szCs w:val="24"/>
        </w:rPr>
      </w:pPr>
      <w:r>
        <w:rPr>
          <w:rFonts w:hint="eastAsia" w:hAnsi="宋体" w:eastAsia="宋体" w:cs="宋体"/>
          <w:sz w:val="24"/>
          <w:szCs w:val="24"/>
        </w:rPr>
        <w:t>（2）采购人应当确定评标委员会推荐排名第一的中标候选人商为中标人。</w:t>
      </w:r>
    </w:p>
    <w:p>
      <w:pPr>
        <w:pStyle w:val="8"/>
        <w:spacing w:line="440" w:lineRule="exact"/>
        <w:ind w:firstLine="480" w:firstLineChars="200"/>
        <w:rPr>
          <w:rFonts w:hAnsi="宋体" w:cs="宋体"/>
          <w:sz w:val="24"/>
          <w:szCs w:val="24"/>
        </w:rPr>
      </w:pPr>
      <w:r>
        <w:rPr>
          <w:rFonts w:hint="eastAsia" w:hAnsi="宋体" w:cs="宋体"/>
          <w:sz w:val="24"/>
          <w:szCs w:val="24"/>
        </w:rPr>
        <w:t>（3）</w:t>
      </w:r>
      <w:r>
        <w:rPr>
          <w:rFonts w:hint="eastAsia" w:hAnsi="宋体" w:eastAsia="宋体" w:cs="宋体"/>
          <w:sz w:val="24"/>
          <w:szCs w:val="24"/>
        </w:rPr>
        <w:t>如中标人有下列情形之一的，招标人可从询价小组推荐的中标候选人中按顺序重新确定中标人或重新组织招标。</w:t>
      </w:r>
    </w:p>
    <w:p>
      <w:pPr>
        <w:pStyle w:val="8"/>
        <w:spacing w:line="440" w:lineRule="exact"/>
        <w:ind w:firstLine="480" w:firstLineChars="200"/>
        <w:rPr>
          <w:rFonts w:hAnsi="宋体" w:cs="宋体"/>
          <w:sz w:val="24"/>
          <w:szCs w:val="24"/>
        </w:rPr>
      </w:pPr>
      <w:r>
        <w:rPr>
          <w:rFonts w:hint="eastAsia" w:hAnsi="宋体" w:cs="宋体"/>
          <w:sz w:val="24"/>
          <w:szCs w:val="24"/>
        </w:rPr>
        <w:t>①</w:t>
      </w:r>
      <w:r>
        <w:rPr>
          <w:rFonts w:hint="eastAsia" w:hAnsi="宋体" w:eastAsia="宋体" w:cs="宋体"/>
          <w:sz w:val="24"/>
          <w:szCs w:val="24"/>
        </w:rPr>
        <w:t>中标后未按规定办理中标通知书领取手续的或中标后不与招标人签订合同的（不可抗力除外）；</w:t>
      </w:r>
    </w:p>
    <w:p>
      <w:pPr>
        <w:pStyle w:val="8"/>
        <w:spacing w:line="440" w:lineRule="exact"/>
        <w:ind w:firstLine="480" w:firstLineChars="200"/>
        <w:rPr>
          <w:rFonts w:hAnsi="宋体" w:cs="宋体"/>
          <w:sz w:val="24"/>
          <w:szCs w:val="24"/>
        </w:rPr>
      </w:pPr>
      <w:r>
        <w:rPr>
          <w:rFonts w:hint="eastAsia" w:hAnsi="宋体" w:cs="宋体"/>
          <w:sz w:val="24"/>
          <w:szCs w:val="24"/>
        </w:rPr>
        <w:t>②</w:t>
      </w:r>
      <w:r>
        <w:rPr>
          <w:rFonts w:hint="eastAsia" w:hAnsi="宋体" w:eastAsia="宋体" w:cs="宋体"/>
          <w:sz w:val="24"/>
          <w:szCs w:val="24"/>
        </w:rPr>
        <w:t>将中标项目转让给他人，或者在投标文件中未说明，且未经招标人同意，将中标项目分包给他人的；</w:t>
      </w:r>
    </w:p>
    <w:p>
      <w:pPr>
        <w:pStyle w:val="8"/>
        <w:spacing w:line="440" w:lineRule="exact"/>
        <w:ind w:firstLine="480" w:firstLineChars="200"/>
        <w:rPr>
          <w:rFonts w:hAnsi="宋体" w:cs="宋体"/>
          <w:sz w:val="24"/>
          <w:szCs w:val="24"/>
        </w:rPr>
      </w:pPr>
      <w:r>
        <w:rPr>
          <w:rFonts w:hint="eastAsia" w:hAnsi="宋体" w:cs="宋体"/>
          <w:sz w:val="24"/>
          <w:szCs w:val="24"/>
        </w:rPr>
        <w:t>③</w:t>
      </w:r>
      <w:r>
        <w:rPr>
          <w:rFonts w:hint="eastAsia" w:hAnsi="宋体" w:eastAsia="宋体" w:cs="宋体"/>
          <w:sz w:val="24"/>
          <w:szCs w:val="24"/>
        </w:rPr>
        <w:t>拒绝履行合同义务的。</w:t>
      </w:r>
    </w:p>
    <w:p>
      <w:pPr>
        <w:pStyle w:val="8"/>
        <w:spacing w:line="440" w:lineRule="exact"/>
        <w:ind w:firstLine="420"/>
        <w:rPr>
          <w:rFonts w:hAnsi="宋体" w:cs="宋体"/>
          <w:b/>
          <w:bCs/>
          <w:sz w:val="24"/>
          <w:szCs w:val="24"/>
        </w:rPr>
      </w:pPr>
      <w:r>
        <w:rPr>
          <w:rFonts w:hint="eastAsia" w:hAnsi="宋体" w:eastAsia="宋体" w:cs="宋体"/>
          <w:b/>
          <w:bCs/>
          <w:sz w:val="24"/>
          <w:szCs w:val="24"/>
        </w:rPr>
        <w:t>四、其他</w:t>
      </w:r>
    </w:p>
    <w:p>
      <w:pPr>
        <w:pStyle w:val="8"/>
        <w:spacing w:line="440" w:lineRule="exact"/>
        <w:ind w:firstLine="480" w:firstLineChars="200"/>
        <w:rPr>
          <w:rFonts w:hAnsi="宋体" w:cs="宋体"/>
          <w:sz w:val="24"/>
          <w:szCs w:val="24"/>
        </w:rPr>
      </w:pPr>
      <w:r>
        <w:rPr>
          <w:rFonts w:hint="eastAsia" w:hAnsi="宋体" w:eastAsia="宋体" w:cs="宋体"/>
          <w:sz w:val="24"/>
          <w:szCs w:val="24"/>
        </w:rPr>
        <w:t>1</w:t>
      </w:r>
      <w:r>
        <w:rPr>
          <w:rFonts w:hint="eastAsia" w:hAnsi="宋体" w:cs="宋体"/>
          <w:sz w:val="24"/>
          <w:szCs w:val="24"/>
        </w:rPr>
        <w:t>.</w:t>
      </w:r>
      <w:r>
        <w:rPr>
          <w:rFonts w:hint="eastAsia" w:hAnsi="宋体" w:eastAsia="宋体" w:cs="宋体"/>
          <w:sz w:val="24"/>
          <w:szCs w:val="24"/>
        </w:rPr>
        <w:t>询价小组应按询价文件公布的评分方法和标准进行评</w:t>
      </w:r>
      <w:r>
        <w:rPr>
          <w:rFonts w:hint="eastAsia" w:hAnsi="宋体" w:cs="宋体"/>
          <w:sz w:val="24"/>
          <w:szCs w:val="24"/>
        </w:rPr>
        <w:t>审</w:t>
      </w:r>
      <w:r>
        <w:rPr>
          <w:rFonts w:hint="eastAsia" w:hAnsi="宋体" w:eastAsia="宋体" w:cs="宋体"/>
          <w:sz w:val="24"/>
          <w:szCs w:val="24"/>
        </w:rPr>
        <w:t>，不得擅自更改评</w:t>
      </w:r>
      <w:r>
        <w:rPr>
          <w:rFonts w:hint="eastAsia" w:hAnsi="宋体" w:cs="宋体"/>
          <w:sz w:val="24"/>
          <w:szCs w:val="24"/>
        </w:rPr>
        <w:t>审</w:t>
      </w:r>
      <w:r>
        <w:rPr>
          <w:rFonts w:hint="eastAsia" w:hAnsi="宋体" w:eastAsia="宋体" w:cs="宋体"/>
          <w:sz w:val="24"/>
          <w:szCs w:val="24"/>
        </w:rPr>
        <w:t>方法和标准。</w:t>
      </w:r>
    </w:p>
    <w:p>
      <w:pPr>
        <w:pStyle w:val="8"/>
        <w:spacing w:line="440" w:lineRule="exact"/>
        <w:ind w:firstLine="480" w:firstLineChars="200"/>
        <w:rPr>
          <w:rFonts w:hAnsi="宋体" w:cs="宋体"/>
          <w:sz w:val="24"/>
          <w:szCs w:val="24"/>
        </w:rPr>
      </w:pPr>
      <w:r>
        <w:rPr>
          <w:rFonts w:hint="eastAsia" w:hAnsi="宋体" w:eastAsia="宋体" w:cs="宋体"/>
          <w:sz w:val="24"/>
          <w:szCs w:val="24"/>
        </w:rPr>
        <w:t>2</w:t>
      </w:r>
      <w:r>
        <w:rPr>
          <w:rFonts w:hint="eastAsia" w:hAnsi="宋体" w:cs="宋体"/>
          <w:sz w:val="24"/>
          <w:szCs w:val="24"/>
        </w:rPr>
        <w:t>.</w:t>
      </w:r>
      <w:r>
        <w:rPr>
          <w:rFonts w:hint="eastAsia" w:hAnsi="宋体" w:eastAsia="宋体" w:cs="宋体"/>
          <w:sz w:val="24"/>
          <w:szCs w:val="24"/>
        </w:rPr>
        <w:t>在评审过程中，询价小组任何人不得对某个投标供应商发表任何倾向性意见，不得向其他专家评委明示或者暗示自己的评审意见。</w:t>
      </w:r>
    </w:p>
    <w:p>
      <w:pPr>
        <w:pStyle w:val="8"/>
        <w:spacing w:line="440" w:lineRule="exact"/>
        <w:ind w:firstLine="480" w:firstLineChars="200"/>
        <w:rPr>
          <w:rFonts w:hAnsi="宋体" w:cs="宋体"/>
          <w:sz w:val="24"/>
          <w:szCs w:val="24"/>
        </w:rPr>
      </w:pPr>
      <w:r>
        <w:rPr>
          <w:rFonts w:hint="eastAsia" w:hAnsi="宋体" w:eastAsia="宋体" w:cs="宋体"/>
          <w:sz w:val="24"/>
          <w:szCs w:val="24"/>
        </w:rPr>
        <w:t>3</w:t>
      </w:r>
      <w:r>
        <w:rPr>
          <w:rFonts w:hint="eastAsia" w:hAnsi="宋体" w:cs="宋体"/>
          <w:sz w:val="24"/>
          <w:szCs w:val="24"/>
        </w:rPr>
        <w:t>.</w:t>
      </w:r>
      <w:r>
        <w:rPr>
          <w:rFonts w:hint="eastAsia" w:hAnsi="宋体" w:eastAsia="宋体" w:cs="宋体"/>
          <w:sz w:val="24"/>
          <w:szCs w:val="24"/>
        </w:rPr>
        <w:t>现场监督人员发现询价小组专家有明显的违规倾向或歧视现象，或不按规定的评标方法和标准进行，或其他不正常行为的，应当及时制止和纠正。</w:t>
      </w:r>
    </w:p>
    <w:p>
      <w:pPr>
        <w:spacing w:line="400" w:lineRule="exact"/>
        <w:rPr>
          <w:rFonts w:ascii="宋体" w:hAnsi="宋体" w:cs="宋体"/>
          <w:sz w:val="24"/>
        </w:rPr>
      </w:pPr>
    </w:p>
    <w:p>
      <w:pPr>
        <w:pStyle w:val="2"/>
        <w:ind w:firstLine="420"/>
        <w:rPr>
          <w:lang w:val="en-US"/>
        </w:rPr>
      </w:pPr>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101600</wp:posOffset>
              </wp:positionV>
              <wp:extent cx="8430895" cy="379095"/>
              <wp:effectExtent l="0" t="0" r="0" b="0"/>
              <wp:wrapNone/>
              <wp:docPr id="28" name="文本框 27"/>
              <wp:cNvGraphicFramePr/>
              <a:graphic xmlns:a="http://schemas.openxmlformats.org/drawingml/2006/main">
                <a:graphicData uri="http://schemas.microsoft.com/office/word/2010/wordprocessingShape">
                  <wps:wsp>
                    <wps:cNvSpPr txBox="1"/>
                    <wps:spPr>
                      <a:xfrm>
                        <a:off x="-537210" y="6892290"/>
                        <a:ext cx="8430895" cy="379095"/>
                      </a:xfrm>
                      <a:prstGeom prst="rect">
                        <a:avLst/>
                      </a:prstGeom>
                      <a:noFill/>
                    </wps:spPr>
                    <wps:txbx>
                      <w:txbxContent>
                        <w:p>
                          <w:pPr>
                            <w:pStyle w:val="12"/>
                            <w:jc w:val="left"/>
                          </w:pPr>
                          <w:r>
                            <w:rPr>
                              <w:rFonts w:hAnsiTheme="minorBidi"/>
                              <w:color w:val="000000" w:themeColor="text1"/>
                              <w:kern w:val="24"/>
                              <w:sz w:val="18"/>
                              <w:szCs w:val="18"/>
                              <w14:textFill>
                                <w14:solidFill>
                                  <w14:schemeClr w14:val="tx1"/>
                                </w14:solidFill>
                              </w14:textFill>
                            </w:rPr>
                            <w:t>努</w:t>
                          </w:r>
                        </w:p>
                      </w:txbxContent>
                    </wps:txbx>
                    <wps:bodyPr vert="horz" wrap="square" rtlCol="0">
                      <a:spAutoFit/>
                    </wps:bodyPr>
                  </wps:wsp>
                </a:graphicData>
              </a:graphic>
            </wp:anchor>
          </w:drawing>
        </mc:Choice>
        <mc:Fallback>
          <w:pict>
            <v:shape id="文本框 27" o:spid="_x0000_s1026" o:spt="202" type="#_x0000_t202" style="position:absolute;left:0pt;margin-left:-78.3pt;margin-top:8pt;height:29.85pt;width:663.85pt;z-index:251659264;mso-width-relative:page;mso-height-relative:page;" filled="f" stroked="f" coordsize="21600,21600" o:gfxdata="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9jOB1wAAAAsBAAAPAAAAAAAAAAEAIAAAACIA&#10;AABkcnMvZG93bnJldi54bWxQSwECFAAUAAAACACHTuJA0ctv+9EBAAB3AwAADgAAAAAAAAABACAA&#10;AAAmAQAAZHJzL2Uyb0RvYy54bWxQSwUGAAAAAAYABgBZAQAAaQUAAAAA&#10;">
              <v:fill on="f" focussize="0,0"/>
              <v:stroke on="f"/>
              <v:imagedata o:title=""/>
              <o:lock v:ext="edit" aspectratio="f"/>
              <v:textbox style="mso-fit-shape-to-text:t;">
                <w:txbxContent>
                  <w:p>
                    <w:pPr>
                      <w:pStyle w:val="12"/>
                      <w:jc w:val="left"/>
                    </w:pPr>
                    <w:r>
                      <w:rPr>
                        <w:rFonts w:hAnsiTheme="minorBidi"/>
                        <w:color w:val="000000" w:themeColor="text1"/>
                        <w:kern w:val="24"/>
                        <w:sz w:val="18"/>
                        <w:szCs w:val="18"/>
                        <w14:textFill>
                          <w14:solidFill>
                            <w14:schemeClr w14:val="tx1"/>
                          </w14:solidFill>
                        </w14:textFill>
                      </w:rPr>
                      <w:t>努</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13E2B"/>
    <w:multiLevelType w:val="singleLevel"/>
    <w:tmpl w:val="9EF13E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NmNlNzJkNjMzOTI3ZTE0ODEwMTE4ZWE1NzljZGYifQ=="/>
  </w:docVars>
  <w:rsids>
    <w:rsidRoot w:val="00622DBF"/>
    <w:rsid w:val="001768DA"/>
    <w:rsid w:val="001E591F"/>
    <w:rsid w:val="005B0737"/>
    <w:rsid w:val="00622DBF"/>
    <w:rsid w:val="0067285C"/>
    <w:rsid w:val="0080345C"/>
    <w:rsid w:val="008818D6"/>
    <w:rsid w:val="00AA6B2D"/>
    <w:rsid w:val="00BE3FE5"/>
    <w:rsid w:val="00D26EBE"/>
    <w:rsid w:val="00F33690"/>
    <w:rsid w:val="03B32BC3"/>
    <w:rsid w:val="05627F10"/>
    <w:rsid w:val="05D71AC7"/>
    <w:rsid w:val="063127B9"/>
    <w:rsid w:val="068C0000"/>
    <w:rsid w:val="071E213B"/>
    <w:rsid w:val="090E03E5"/>
    <w:rsid w:val="099105B3"/>
    <w:rsid w:val="0B320D94"/>
    <w:rsid w:val="0C760B97"/>
    <w:rsid w:val="0E173D40"/>
    <w:rsid w:val="11B232FE"/>
    <w:rsid w:val="121E2752"/>
    <w:rsid w:val="132A00C9"/>
    <w:rsid w:val="150D619F"/>
    <w:rsid w:val="15246C14"/>
    <w:rsid w:val="15B10CA8"/>
    <w:rsid w:val="17FF6273"/>
    <w:rsid w:val="18550589"/>
    <w:rsid w:val="19460356"/>
    <w:rsid w:val="1A13035A"/>
    <w:rsid w:val="1A421DB2"/>
    <w:rsid w:val="1AD23898"/>
    <w:rsid w:val="1D8A2A83"/>
    <w:rsid w:val="1DE972FF"/>
    <w:rsid w:val="1EEA0711"/>
    <w:rsid w:val="1F867CC8"/>
    <w:rsid w:val="216D4A04"/>
    <w:rsid w:val="22E91835"/>
    <w:rsid w:val="250D0E48"/>
    <w:rsid w:val="277814B7"/>
    <w:rsid w:val="27F82CDF"/>
    <w:rsid w:val="28603113"/>
    <w:rsid w:val="2A151C71"/>
    <w:rsid w:val="2AAF53E9"/>
    <w:rsid w:val="2B053749"/>
    <w:rsid w:val="2B6C384F"/>
    <w:rsid w:val="2C8B5ED0"/>
    <w:rsid w:val="2CB93145"/>
    <w:rsid w:val="2D206871"/>
    <w:rsid w:val="2D900742"/>
    <w:rsid w:val="2D9B072D"/>
    <w:rsid w:val="2DF04EFF"/>
    <w:rsid w:val="2EB02BEA"/>
    <w:rsid w:val="2EB966C3"/>
    <w:rsid w:val="2FFF43BA"/>
    <w:rsid w:val="30C72BA8"/>
    <w:rsid w:val="31B91150"/>
    <w:rsid w:val="333252F7"/>
    <w:rsid w:val="34024C7C"/>
    <w:rsid w:val="366C3C9E"/>
    <w:rsid w:val="370352C5"/>
    <w:rsid w:val="37E8067A"/>
    <w:rsid w:val="38056EDD"/>
    <w:rsid w:val="39643D30"/>
    <w:rsid w:val="39737220"/>
    <w:rsid w:val="3B64626A"/>
    <w:rsid w:val="3D93136E"/>
    <w:rsid w:val="3DBF0B75"/>
    <w:rsid w:val="3E3E3568"/>
    <w:rsid w:val="3EFB45AC"/>
    <w:rsid w:val="440A7A51"/>
    <w:rsid w:val="46D3323F"/>
    <w:rsid w:val="47BF1103"/>
    <w:rsid w:val="480A0199"/>
    <w:rsid w:val="49763D37"/>
    <w:rsid w:val="49D83A04"/>
    <w:rsid w:val="4A31510E"/>
    <w:rsid w:val="4A9B76D8"/>
    <w:rsid w:val="4AC71CFF"/>
    <w:rsid w:val="4B49791C"/>
    <w:rsid w:val="4B7F6C0A"/>
    <w:rsid w:val="4C2018BC"/>
    <w:rsid w:val="4CD465AB"/>
    <w:rsid w:val="4DB577AE"/>
    <w:rsid w:val="4E17716C"/>
    <w:rsid w:val="5242543E"/>
    <w:rsid w:val="53E276E4"/>
    <w:rsid w:val="548F16C5"/>
    <w:rsid w:val="54B40747"/>
    <w:rsid w:val="55576041"/>
    <w:rsid w:val="574A0E85"/>
    <w:rsid w:val="579C7BFF"/>
    <w:rsid w:val="581D20BA"/>
    <w:rsid w:val="58396180"/>
    <w:rsid w:val="58C20339"/>
    <w:rsid w:val="5A3459A5"/>
    <w:rsid w:val="5A680B7A"/>
    <w:rsid w:val="5AAD71E9"/>
    <w:rsid w:val="5D0C08CB"/>
    <w:rsid w:val="5D263E01"/>
    <w:rsid w:val="5D2F1BE8"/>
    <w:rsid w:val="5E3D0787"/>
    <w:rsid w:val="5F742208"/>
    <w:rsid w:val="61427337"/>
    <w:rsid w:val="63337393"/>
    <w:rsid w:val="651E022C"/>
    <w:rsid w:val="65AF62ED"/>
    <w:rsid w:val="682E0E0B"/>
    <w:rsid w:val="69B45116"/>
    <w:rsid w:val="6AD45ACF"/>
    <w:rsid w:val="6B203449"/>
    <w:rsid w:val="6BBD0FAB"/>
    <w:rsid w:val="6BFC613F"/>
    <w:rsid w:val="6D5D5B51"/>
    <w:rsid w:val="6E274D51"/>
    <w:rsid w:val="6E315E98"/>
    <w:rsid w:val="6FDC220F"/>
    <w:rsid w:val="70980188"/>
    <w:rsid w:val="71337F68"/>
    <w:rsid w:val="72781A13"/>
    <w:rsid w:val="732E604C"/>
    <w:rsid w:val="737038AD"/>
    <w:rsid w:val="73A609C6"/>
    <w:rsid w:val="75A65E9A"/>
    <w:rsid w:val="7A105168"/>
    <w:rsid w:val="7A170370"/>
    <w:rsid w:val="7BA533B0"/>
    <w:rsid w:val="7D075950"/>
    <w:rsid w:val="7D292894"/>
    <w:rsid w:val="7DF24F98"/>
    <w:rsid w:val="7ECA29C2"/>
    <w:rsid w:val="7EDE241F"/>
    <w:rsid w:val="7F4A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after="260"/>
      <w:outlineLvl w:val="1"/>
    </w:pPr>
    <w:rPr>
      <w:rFonts w:ascii="Arial" w:hAnsi="Arial" w:eastAsia="宋体" w:cs="Times New Roman"/>
      <w:b/>
      <w:bCs/>
      <w:color w:val="000000"/>
      <w:sz w:val="28"/>
      <w:szCs w:val="32"/>
      <w:lang w:eastAsia="en-US" w:bidi="en-US"/>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400" w:lineRule="exact"/>
      <w:ind w:firstLine="480" w:firstLineChars="200"/>
      <w:jc w:val="left"/>
    </w:pPr>
    <w:rPr>
      <w:lang w:val="zh-CN"/>
    </w:rPr>
  </w:style>
  <w:style w:type="paragraph" w:styleId="5">
    <w:name w:val="index 8"/>
    <w:basedOn w:val="1"/>
    <w:next w:val="1"/>
    <w:qFormat/>
    <w:uiPriority w:val="0"/>
    <w:pPr>
      <w:spacing w:line="400" w:lineRule="exact"/>
      <w:ind w:left="2940" w:firstLine="1044" w:firstLineChars="200"/>
      <w:jc w:val="left"/>
    </w:pPr>
  </w:style>
  <w:style w:type="paragraph" w:styleId="6">
    <w:name w:val="annotation text"/>
    <w:basedOn w:val="1"/>
    <w:qFormat/>
    <w:uiPriority w:val="0"/>
    <w:pPr>
      <w:adjustRightInd w:val="0"/>
      <w:spacing w:line="360" w:lineRule="atLeast"/>
      <w:jc w:val="left"/>
      <w:textAlignment w:val="baseline"/>
    </w:pPr>
    <w:rPr>
      <w:kern w:val="0"/>
      <w:sz w:val="24"/>
      <w:szCs w:val="20"/>
    </w:rPr>
  </w:style>
  <w:style w:type="paragraph" w:styleId="7">
    <w:name w:val="Body Text"/>
    <w:basedOn w:val="1"/>
    <w:link w:val="22"/>
    <w:unhideWhenUsed/>
    <w:qFormat/>
    <w:uiPriority w:val="99"/>
    <w:pPr>
      <w:spacing w:after="120"/>
    </w:pPr>
    <w:rPr>
      <w:rFonts w:ascii="Times New Roman" w:hAnsi="Times New Roman" w:eastAsia="宋体" w:cs="Times New Roman"/>
    </w:rPr>
  </w:style>
  <w:style w:type="paragraph" w:styleId="8">
    <w:name w:val="Plain Text"/>
    <w:basedOn w:val="1"/>
    <w:next w:val="5"/>
    <w:link w:val="23"/>
    <w:qFormat/>
    <w:uiPriority w:val="0"/>
    <w:rPr>
      <w:rFonts w:ascii="宋体" w:hAnsi="Courier New"/>
      <w:szCs w:val="20"/>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rPr>
      <w:sz w:val="24"/>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71"/>
    <w:basedOn w:val="16"/>
    <w:qFormat/>
    <w:uiPriority w:val="0"/>
    <w:rPr>
      <w:rFonts w:hint="eastAsia" w:ascii="宋体" w:hAnsi="宋体" w:eastAsia="宋体" w:cs="宋体"/>
      <w:b/>
      <w:bCs/>
      <w:color w:val="000000"/>
      <w:sz w:val="21"/>
      <w:szCs w:val="21"/>
      <w:u w:val="none"/>
    </w:rPr>
  </w:style>
  <w:style w:type="character" w:customStyle="1" w:styleId="18">
    <w:name w:val="font101"/>
    <w:basedOn w:val="16"/>
    <w:qFormat/>
    <w:uiPriority w:val="0"/>
    <w:rPr>
      <w:rFonts w:hint="eastAsia" w:ascii="宋体" w:hAnsi="宋体" w:eastAsia="宋体" w:cs="宋体"/>
      <w:b/>
      <w:bCs/>
      <w:color w:val="00B050"/>
      <w:sz w:val="21"/>
      <w:szCs w:val="21"/>
      <w:u w:val="none"/>
    </w:rPr>
  </w:style>
  <w:style w:type="character" w:customStyle="1" w:styleId="19">
    <w:name w:val="font11"/>
    <w:basedOn w:val="16"/>
    <w:qFormat/>
    <w:uiPriority w:val="0"/>
    <w:rPr>
      <w:rFonts w:hint="eastAsia" w:ascii="宋体" w:hAnsi="宋体" w:eastAsia="宋体" w:cs="宋体"/>
      <w:color w:val="000000"/>
      <w:sz w:val="21"/>
      <w:szCs w:val="21"/>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2">
    <w:name w:val="正文文本 Char"/>
    <w:basedOn w:val="16"/>
    <w:link w:val="7"/>
    <w:qFormat/>
    <w:uiPriority w:val="99"/>
    <w:rPr>
      <w:kern w:val="2"/>
      <w:sz w:val="21"/>
      <w:szCs w:val="24"/>
    </w:rPr>
  </w:style>
  <w:style w:type="character" w:customStyle="1" w:styleId="23">
    <w:name w:val="纯文本 Char"/>
    <w:basedOn w:val="16"/>
    <w:link w:val="8"/>
    <w:qFormat/>
    <w:uiPriority w:val="0"/>
    <w:rPr>
      <w:rFonts w:ascii="宋体" w:hAnsi="Courier New" w:eastAsiaTheme="minorEastAsia" w:cstheme="minorBid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2729</Words>
  <Characters>3134</Characters>
  <Lines>39</Lines>
  <Paragraphs>11</Paragraphs>
  <TotalTime>0</TotalTime>
  <ScaleCrop>false</ScaleCrop>
  <LinksUpToDate>false</LinksUpToDate>
  <CharactersWithSpaces>3277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对方正在输入...</cp:lastModifiedBy>
  <cp:lastPrinted>2023-07-27T06:39:00Z</cp:lastPrinted>
  <dcterms:modified xsi:type="dcterms:W3CDTF">2023-08-28T09:36:40Z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42E3E7797379494C851B1DAE58EC8ACC_13</vt:lpwstr>
  </property>
</Properties>
</file>