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p>
    <w:p>
      <w:pPr>
        <w:spacing w:line="288" w:lineRule="auto"/>
        <w:ind w:firstLine="800" w:firstLineChars="250"/>
      </w:pPr>
      <w:r>
        <w:rPr>
          <w:rFonts w:hint="eastAsia" w:ascii="宋体" w:hAnsi="宋体" w:cs="宋体"/>
          <w:sz w:val="32"/>
          <w:szCs w:val="32"/>
          <w:lang w:val="en-US" w:eastAsia="zh-CN"/>
        </w:rPr>
        <w:t>一</w:t>
      </w:r>
      <w:r>
        <w:rPr>
          <w:rFonts w:hint="eastAsia" w:ascii="宋体" w:hAnsi="宋体" w:cs="宋体"/>
          <w:sz w:val="32"/>
          <w:szCs w:val="32"/>
        </w:rPr>
        <w:t>、</w:t>
      </w:r>
      <w:r>
        <w:rPr>
          <w:rFonts w:hint="eastAsia" w:asciiTheme="minorEastAsia" w:hAnsiTheme="minorEastAsia"/>
          <w:sz w:val="32"/>
          <w:szCs w:val="32"/>
        </w:rPr>
        <w:t>基本参数及需求数量</w:t>
      </w:r>
      <w:r>
        <w:rPr>
          <w:rFonts w:hint="eastAsia" w:asciiTheme="minorEastAsia" w:hAnsiTheme="minorEastAsia"/>
          <w:sz w:val="32"/>
          <w:szCs w:val="32"/>
          <w:lang w:val="en-US" w:eastAsia="zh-CN"/>
        </w:rPr>
        <w:t xml:space="preserve"> </w:t>
      </w:r>
    </w:p>
    <w:tbl>
      <w:tblPr>
        <w:tblStyle w:val="15"/>
        <w:tblW w:w="10411"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14"/>
        <w:gridCol w:w="1986"/>
        <w:gridCol w:w="859"/>
        <w:gridCol w:w="840"/>
        <w:gridCol w:w="4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00"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214" w:type="dxa"/>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1986" w:type="dxa"/>
            <w:vAlign w:val="center"/>
          </w:tcPr>
          <w:p>
            <w:pPr>
              <w:jc w:val="center"/>
              <w:rPr>
                <w:rFonts w:ascii="宋体" w:hAnsi="宋体" w:eastAsia="宋体" w:cs="宋体"/>
                <w:szCs w:val="21"/>
              </w:rPr>
            </w:pPr>
            <w:r>
              <w:rPr>
                <w:rFonts w:hint="eastAsia" w:ascii="宋体" w:hAnsi="宋体" w:eastAsia="宋体" w:cs="宋体"/>
                <w:szCs w:val="21"/>
              </w:rPr>
              <w:t>规格（毫米）</w:t>
            </w:r>
          </w:p>
          <w:p>
            <w:pPr>
              <w:jc w:val="center"/>
              <w:rPr>
                <w:rFonts w:ascii="宋体" w:hAnsi="宋体" w:eastAsia="宋体" w:cs="宋体"/>
                <w:szCs w:val="21"/>
              </w:rPr>
            </w:pPr>
            <w:r>
              <w:rPr>
                <w:rFonts w:hint="eastAsia" w:ascii="宋体" w:hAnsi="宋体" w:eastAsia="宋体" w:cs="宋体"/>
                <w:szCs w:val="21"/>
              </w:rPr>
              <w:t>长W*宽D*高H</w:t>
            </w:r>
          </w:p>
        </w:tc>
        <w:tc>
          <w:tcPr>
            <w:tcW w:w="859"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单位</w:t>
            </w:r>
          </w:p>
        </w:tc>
        <w:tc>
          <w:tcPr>
            <w:tcW w:w="840"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数量</w:t>
            </w:r>
          </w:p>
        </w:tc>
        <w:tc>
          <w:tcPr>
            <w:tcW w:w="4912"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技术指标及材质说明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14" w:type="dxa"/>
            <w:vAlign w:val="center"/>
          </w:tcPr>
          <w:p>
            <w:pPr>
              <w:jc w:val="center"/>
              <w:rPr>
                <w:rFonts w:hint="eastAsia" w:ascii="宋体" w:hAnsi="宋体" w:eastAsia="宋体" w:cs="宋体"/>
                <w:kern w:val="2"/>
                <w:sz w:val="21"/>
                <w:szCs w:val="21"/>
                <w:lang w:val="en-US" w:eastAsia="zh-CN" w:bidi="ar-SA"/>
              </w:rPr>
            </w:pPr>
            <w:r>
              <w:rPr>
                <w:rFonts w:ascii="宋体" w:hAnsi="宋体" w:eastAsia="宋体" w:cs="宋体"/>
                <w:sz w:val="21"/>
                <w:szCs w:val="21"/>
              </w:rPr>
              <w:t>餐桌</w:t>
            </w:r>
          </w:p>
        </w:tc>
        <w:tc>
          <w:tcPr>
            <w:tcW w:w="1986" w:type="dxa"/>
            <w:vAlign w:val="center"/>
          </w:tcPr>
          <w:p>
            <w:pPr>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sz w:val="21"/>
                <w:szCs w:val="21"/>
              </w:rPr>
              <w:t>1200*600*750H</w:t>
            </w:r>
          </w:p>
        </w:tc>
        <w:tc>
          <w:tcPr>
            <w:tcW w:w="85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4912" w:type="dxa"/>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框架材质为钢管焊接而成，经过酸洗磷化加工后静电粉末喷塑处理；桌面采用岩板，经过打磨处理。五金配件：采用优质国产五金配件。</w:t>
            </w:r>
            <w:r>
              <w:rPr>
                <w:rFonts w:hint="eastAsia" w:ascii="宋体" w:hAnsi="宋体" w:eastAsia="宋体" w:cs="宋体"/>
                <w:b/>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14" w:type="dxa"/>
            <w:vAlign w:val="center"/>
          </w:tcPr>
          <w:p>
            <w:pPr>
              <w:jc w:val="center"/>
              <w:rPr>
                <w:rFonts w:hint="eastAsia" w:ascii="宋体" w:hAnsi="宋体" w:eastAsia="宋体" w:cs="宋体"/>
                <w:kern w:val="2"/>
                <w:sz w:val="21"/>
                <w:szCs w:val="21"/>
                <w:lang w:val="en-US" w:eastAsia="zh-CN" w:bidi="ar-SA"/>
              </w:rPr>
            </w:pPr>
            <w:r>
              <w:rPr>
                <w:rFonts w:ascii="宋体" w:hAnsi="宋体" w:eastAsia="宋体" w:cs="宋体"/>
                <w:sz w:val="21"/>
                <w:szCs w:val="21"/>
              </w:rPr>
              <w:t>餐椅</w:t>
            </w:r>
          </w:p>
        </w:tc>
        <w:tc>
          <w:tcPr>
            <w:tcW w:w="19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520*600*810</w:t>
            </w:r>
          </w:p>
        </w:tc>
        <w:tc>
          <w:tcPr>
            <w:tcW w:w="85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p>
        </w:tc>
        <w:tc>
          <w:tcPr>
            <w:tcW w:w="4912" w:type="dxa"/>
            <w:vAlign w:val="center"/>
          </w:tcPr>
          <w:p>
            <w:pPr>
              <w:rPr>
                <w:rFonts w:ascii="宋体" w:hAnsi="宋体" w:eastAsia="宋体" w:cs="宋体"/>
                <w:sz w:val="21"/>
                <w:szCs w:val="21"/>
              </w:rPr>
            </w:pPr>
            <w:r>
              <w:rPr>
                <w:rFonts w:hint="eastAsia" w:ascii="宋体" w:hAnsi="宋体" w:eastAsia="宋体" w:cs="宋体"/>
                <w:sz w:val="21"/>
                <w:szCs w:val="21"/>
              </w:rPr>
              <w:t>面料采用优质</w:t>
            </w:r>
            <w:r>
              <w:rPr>
                <w:rFonts w:hint="eastAsia" w:ascii="宋体" w:hAnsi="宋体" w:eastAsia="宋体" w:cs="宋体"/>
                <w:sz w:val="21"/>
                <w:szCs w:val="21"/>
                <w:lang w:eastAsia="zh-CN"/>
              </w:rPr>
              <w:t>猫抓皮饰面</w:t>
            </w:r>
            <w:r>
              <w:rPr>
                <w:rFonts w:hint="eastAsia" w:ascii="宋体" w:hAnsi="宋体" w:eastAsia="宋体" w:cs="宋体"/>
                <w:sz w:val="21"/>
                <w:szCs w:val="21"/>
              </w:rPr>
              <w:t>，厚度≥1MM皮面光泽度好，防磨耐刮不易磨损，具有经久耐用的特性；柔软且富于韧性。海绵采用高密度定型海绵及松软喷绵，软硬适中、回弹性能好、不易变形。</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框架结构采用优质橡木，经高温烘干，含水率符合国家相关标准。</w:t>
            </w:r>
            <w:r>
              <w:rPr>
                <w:rFonts w:hint="eastAsia" w:ascii="宋体" w:hAnsi="宋体" w:eastAsia="宋体" w:cs="宋体"/>
                <w:b/>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1214" w:type="dxa"/>
            <w:vAlign w:val="center"/>
          </w:tcPr>
          <w:p>
            <w:pPr>
              <w:jc w:val="center"/>
              <w:rPr>
                <w:rFonts w:hint="eastAsia" w:ascii="宋体" w:hAnsi="宋体" w:eastAsia="宋体" w:cs="宋体"/>
                <w:kern w:val="2"/>
                <w:sz w:val="21"/>
                <w:szCs w:val="21"/>
                <w:lang w:val="en-US" w:eastAsia="zh-CN" w:bidi="ar-SA"/>
              </w:rPr>
            </w:pPr>
            <w:r>
              <w:rPr>
                <w:rFonts w:ascii="宋体" w:hAnsi="宋体" w:eastAsia="宋体" w:cs="宋体"/>
                <w:sz w:val="21"/>
                <w:szCs w:val="21"/>
              </w:rPr>
              <w:t>餐椅</w:t>
            </w:r>
          </w:p>
        </w:tc>
        <w:tc>
          <w:tcPr>
            <w:tcW w:w="19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520*600*810</w:t>
            </w:r>
          </w:p>
        </w:tc>
        <w:tc>
          <w:tcPr>
            <w:tcW w:w="85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p>
        </w:tc>
        <w:tc>
          <w:tcPr>
            <w:tcW w:w="4912" w:type="dxa"/>
            <w:vAlign w:val="center"/>
          </w:tcPr>
          <w:p>
            <w:pPr>
              <w:rPr>
                <w:rFonts w:ascii="宋体" w:hAnsi="宋体" w:eastAsia="宋体" w:cs="宋体"/>
                <w:sz w:val="21"/>
                <w:szCs w:val="21"/>
              </w:rPr>
            </w:pPr>
            <w:r>
              <w:rPr>
                <w:rFonts w:hint="eastAsia" w:ascii="宋体" w:hAnsi="宋体" w:eastAsia="宋体" w:cs="宋体"/>
                <w:sz w:val="21"/>
                <w:szCs w:val="21"/>
              </w:rPr>
              <w:t>面料采用优质</w:t>
            </w:r>
            <w:r>
              <w:rPr>
                <w:rFonts w:hint="eastAsia" w:ascii="宋体" w:hAnsi="宋体" w:eastAsia="宋体" w:cs="宋体"/>
                <w:sz w:val="21"/>
                <w:szCs w:val="21"/>
                <w:lang w:eastAsia="zh-CN"/>
              </w:rPr>
              <w:t>猫抓皮饰面</w:t>
            </w:r>
            <w:r>
              <w:rPr>
                <w:rFonts w:hint="eastAsia" w:ascii="宋体" w:hAnsi="宋体" w:eastAsia="宋体" w:cs="宋体"/>
                <w:sz w:val="21"/>
                <w:szCs w:val="21"/>
              </w:rPr>
              <w:t>，厚度≥1MM皮面光泽度好，防磨耐刮不易磨损，具有经久耐用的特性；柔软且富于韧性。海绵采用高密度定型海绵及松软喷绵，软硬适中、回弹性能好、不易变形。</w:t>
            </w:r>
          </w:p>
          <w:p>
            <w:pPr>
              <w:pStyle w:val="2"/>
              <w:spacing w:line="360" w:lineRule="auto"/>
              <w:ind w:firstLine="0" w:firstLineChars="0"/>
              <w:rPr>
                <w:rFonts w:hint="default" w:asciiTheme="minorEastAsia" w:hAnsiTheme="minorEastAsia" w:cstheme="minorEastAsia"/>
                <w:b/>
                <w:bCs w:val="0"/>
                <w:color w:val="000000"/>
                <w:sz w:val="21"/>
                <w:szCs w:val="21"/>
                <w:lang w:val="en-US" w:eastAsia="zh-CN"/>
              </w:rPr>
            </w:pPr>
            <w:r>
              <w:rPr>
                <w:rFonts w:hint="eastAsia" w:ascii="宋体" w:hAnsi="宋体" w:eastAsia="宋体" w:cs="宋体"/>
                <w:sz w:val="21"/>
                <w:szCs w:val="21"/>
              </w:rPr>
              <w:t>框架结构采用优质橡木，经高温烘干，含水率符合国家相关标准。</w:t>
            </w:r>
            <w:r>
              <w:rPr>
                <w:rFonts w:hint="eastAsia" w:ascii="宋体" w:hAnsi="宋体" w:eastAsia="宋体" w:cs="宋体"/>
                <w:b/>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214" w:type="dxa"/>
            <w:vAlign w:val="center"/>
          </w:tcPr>
          <w:p>
            <w:pPr>
              <w:jc w:val="center"/>
              <w:rPr>
                <w:rFonts w:hint="eastAsia" w:ascii="宋体" w:hAnsi="宋体" w:eastAsia="宋体" w:cs="宋体"/>
                <w:kern w:val="2"/>
                <w:sz w:val="21"/>
                <w:szCs w:val="21"/>
                <w:lang w:val="en-US" w:eastAsia="zh-CN" w:bidi="ar-SA"/>
              </w:rPr>
            </w:pPr>
            <w:r>
              <w:rPr>
                <w:rFonts w:ascii="宋体" w:hAnsi="宋体" w:eastAsia="宋体" w:cs="宋体"/>
                <w:sz w:val="21"/>
                <w:szCs w:val="21"/>
              </w:rPr>
              <w:t>定制卡座（有靠）</w:t>
            </w:r>
          </w:p>
        </w:tc>
        <w:tc>
          <w:tcPr>
            <w:tcW w:w="1986" w:type="dxa"/>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1200*600*900</w:t>
            </w:r>
          </w:p>
        </w:tc>
        <w:tc>
          <w:tcPr>
            <w:tcW w:w="859"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4912" w:type="dxa"/>
            <w:vAlign w:val="center"/>
          </w:tcPr>
          <w:p>
            <w:pPr>
              <w:rPr>
                <w:rFonts w:ascii="宋体" w:hAnsi="宋体" w:eastAsia="宋体" w:cs="宋体"/>
                <w:sz w:val="21"/>
                <w:szCs w:val="21"/>
              </w:rPr>
            </w:pPr>
            <w:r>
              <w:rPr>
                <w:rFonts w:hint="eastAsia" w:ascii="宋体" w:hAnsi="宋体" w:eastAsia="宋体" w:cs="宋体"/>
                <w:sz w:val="21"/>
                <w:szCs w:val="21"/>
              </w:rPr>
              <w:t>面料采用优质</w:t>
            </w:r>
            <w:r>
              <w:rPr>
                <w:rFonts w:hint="eastAsia" w:ascii="宋体" w:hAnsi="宋体" w:eastAsia="宋体" w:cs="宋体"/>
                <w:sz w:val="21"/>
                <w:szCs w:val="21"/>
                <w:lang w:eastAsia="zh-CN"/>
              </w:rPr>
              <w:t>猫抓皮饰面</w:t>
            </w:r>
            <w:r>
              <w:rPr>
                <w:rFonts w:hint="eastAsia" w:ascii="宋体" w:hAnsi="宋体" w:eastAsia="宋体" w:cs="宋体"/>
                <w:sz w:val="21"/>
                <w:szCs w:val="21"/>
              </w:rPr>
              <w:t>，厚度≥1MM皮面光泽度好，防磨耐刮不易磨损，具有经久耐用的特性；柔软且富于韧性。海绵采用高密度定型海绵及松软喷绵，软硬适中、回弹性能好、不易变形。</w:t>
            </w:r>
          </w:p>
          <w:p>
            <w:pPr>
              <w:rPr>
                <w:rFonts w:ascii="宋体" w:hAnsi="宋体" w:eastAsia="宋体" w:cs="宋体"/>
                <w:sz w:val="21"/>
                <w:szCs w:val="21"/>
              </w:rPr>
            </w:pPr>
            <w:r>
              <w:rPr>
                <w:rFonts w:hint="eastAsia" w:ascii="宋体" w:hAnsi="宋体" w:eastAsia="宋体" w:cs="宋体"/>
                <w:sz w:val="21"/>
                <w:szCs w:val="21"/>
              </w:rPr>
              <w:t>框架结构采用优质多层板。</w:t>
            </w:r>
          </w:p>
          <w:p>
            <w:pPr>
              <w:rPr>
                <w:rFonts w:hint="default"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214" w:type="dxa"/>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电动餐桌</w:t>
            </w:r>
          </w:p>
        </w:tc>
        <w:tc>
          <w:tcPr>
            <w:tcW w:w="1986" w:type="dxa"/>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直径2.4米</w:t>
            </w:r>
          </w:p>
        </w:tc>
        <w:tc>
          <w:tcPr>
            <w:tcW w:w="85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912" w:type="dxa"/>
            <w:vAlign w:val="center"/>
          </w:tcPr>
          <w:p>
            <w:pPr>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rPr>
              <w:t xml:space="preserve">1、基材:采用优质橡木实木，无朽木、无虫蚀、材质坚硬、承重力强;                                                  2、智能机芯+电动转盘机架。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3、油漆:采用“华润”牌水性木器环保漆，美观、不变色、光滑耐磨、无气味，苯系物含量。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备注：含12个小电磁炉，2个大电磁炉。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214" w:type="dxa"/>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餐椅</w:t>
            </w:r>
          </w:p>
        </w:tc>
        <w:tc>
          <w:tcPr>
            <w:tcW w:w="1986" w:type="dxa"/>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520*600*850</w:t>
            </w:r>
          </w:p>
        </w:tc>
        <w:tc>
          <w:tcPr>
            <w:tcW w:w="85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4912" w:type="dxa"/>
            <w:vAlign w:val="center"/>
          </w:tcPr>
          <w:p>
            <w:pPr>
              <w:rPr>
                <w:rFonts w:ascii="宋体" w:hAnsi="宋体" w:eastAsia="宋体" w:cs="宋体"/>
                <w:sz w:val="21"/>
                <w:szCs w:val="21"/>
              </w:rPr>
            </w:pPr>
            <w:r>
              <w:rPr>
                <w:rFonts w:hint="eastAsia" w:ascii="宋体" w:hAnsi="宋体" w:eastAsia="宋体" w:cs="宋体"/>
                <w:sz w:val="21"/>
                <w:szCs w:val="21"/>
              </w:rPr>
              <w:t>面料采用优质</w:t>
            </w:r>
            <w:r>
              <w:rPr>
                <w:rFonts w:hint="eastAsia" w:ascii="宋体" w:hAnsi="宋体" w:eastAsia="宋体" w:cs="宋体"/>
                <w:sz w:val="21"/>
                <w:szCs w:val="21"/>
                <w:lang w:eastAsia="zh-CN"/>
              </w:rPr>
              <w:t>猫抓皮饰面</w:t>
            </w:r>
            <w:r>
              <w:rPr>
                <w:rFonts w:hint="eastAsia" w:ascii="宋体" w:hAnsi="宋体" w:eastAsia="宋体" w:cs="宋体"/>
                <w:sz w:val="21"/>
                <w:szCs w:val="21"/>
              </w:rPr>
              <w:t>，厚度≥1MM皮面光泽度好，防磨耐刮不易磨损，具有经久耐用的特性；柔软且富于韧性。海绵采用高密度定型海绵及松软喷绵，软硬适中、回弹性能好、不易变形。</w:t>
            </w:r>
          </w:p>
          <w:p>
            <w:pPr>
              <w:rPr>
                <w:rFonts w:hint="default" w:ascii="宋体" w:hAnsi="宋体" w:eastAsia="宋体" w:cs="宋体"/>
                <w:kern w:val="2"/>
                <w:sz w:val="21"/>
                <w:szCs w:val="21"/>
                <w:lang w:val="en-US" w:eastAsia="zh-CN" w:bidi="ar-SA"/>
              </w:rPr>
            </w:pPr>
            <w:r>
              <w:rPr>
                <w:rFonts w:hint="eastAsia" w:ascii="宋体" w:hAnsi="宋体" w:eastAsia="宋体" w:cs="宋体"/>
                <w:sz w:val="21"/>
                <w:szCs w:val="21"/>
              </w:rPr>
              <w:t>框架结构采用优质橡木，经高温烘干，含水率符合国家相关标准。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1214" w:type="dxa"/>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沙发（三人位）</w:t>
            </w:r>
          </w:p>
        </w:tc>
        <w:tc>
          <w:tcPr>
            <w:tcW w:w="1986" w:type="dxa"/>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1890*830*860</w:t>
            </w:r>
          </w:p>
        </w:tc>
        <w:tc>
          <w:tcPr>
            <w:tcW w:w="85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912" w:type="dxa"/>
            <w:vMerge w:val="restart"/>
            <w:vAlign w:val="center"/>
          </w:tcPr>
          <w:p>
            <w:pPr>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rPr>
              <w:t>1、面料:选用优质耐磨PU皮面,经液态浸色及防潮、防污等工艺处理、皮面更加柔软舒适、光泽持久性好，纹理细腻，富有弹性。                         2、实木板框架:优质进口含水率低9%以下的硬木木方及5mm的多层夹板,经防虫、防腐等化学处理；                                       3、海绵:采用杜邦公司的PU成型发泡高密度海绵高回弹海绵,表面有一层保护面,可防氧化,防碎,经过HD测试永不变形，靠背密度≧27kg/m3，座垫密度≧36kg/m3，回弹性≧35%，拉伸强度95kpa,撕裂强度达3.3N/cm，断裂伸长率达185％，压陷硬度190N。                                                     4、工艺：采用人体工学设计，坐感舒适。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1214" w:type="dxa"/>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沙发（单人位）</w:t>
            </w:r>
          </w:p>
        </w:tc>
        <w:tc>
          <w:tcPr>
            <w:tcW w:w="19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890*830*860</w:t>
            </w:r>
          </w:p>
        </w:tc>
        <w:tc>
          <w:tcPr>
            <w:tcW w:w="859" w:type="dxa"/>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4912" w:type="dxa"/>
            <w:vMerge w:val="continue"/>
            <w:vAlign w:val="center"/>
          </w:tcPr>
          <w:p>
            <w:pPr>
              <w:pStyle w:val="2"/>
              <w:spacing w:line="360" w:lineRule="auto"/>
              <w:ind w:firstLine="0" w:firstLineChars="0"/>
              <w:rPr>
                <w:rFonts w:hint="default" w:asciiTheme="minorEastAsia" w:hAnsiTheme="minorEastAsia" w:cstheme="minorEastAsia"/>
                <w:b/>
                <w:b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1214"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长茶几</w:t>
            </w:r>
          </w:p>
        </w:tc>
        <w:tc>
          <w:tcPr>
            <w:tcW w:w="19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1200*600*430</w:t>
            </w:r>
          </w:p>
        </w:tc>
        <w:tc>
          <w:tcPr>
            <w:tcW w:w="85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912" w:type="dxa"/>
            <w:vAlign w:val="center"/>
          </w:tcPr>
          <w:p>
            <w:pPr>
              <w:widowControl/>
              <w:jc w:val="left"/>
              <w:rPr>
                <w:sz w:val="21"/>
                <w:szCs w:val="21"/>
              </w:rPr>
            </w:pPr>
            <w:r>
              <w:rPr>
                <w:rFonts w:hint="eastAsia" w:ascii="宋体" w:hAnsi="宋体" w:eastAsia="宋体" w:cs="宋体"/>
                <w:color w:val="000000"/>
                <w:kern w:val="0"/>
                <w:sz w:val="21"/>
                <w:szCs w:val="21"/>
              </w:rPr>
              <w:t xml:space="preserve">框架材质为不锈钢 201 高铜料，管壁 1.2mm，镜面亮光加工处理； </w:t>
            </w:r>
          </w:p>
          <w:p>
            <w:pPr>
              <w:widowControl/>
              <w:jc w:val="left"/>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玻璃采用 8~10mm 镜面白玻高温钢化，环保黑色烤漆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1214"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餐桌</w:t>
            </w:r>
          </w:p>
        </w:tc>
        <w:tc>
          <w:tcPr>
            <w:tcW w:w="19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1200*600*750</w:t>
            </w:r>
          </w:p>
        </w:tc>
        <w:tc>
          <w:tcPr>
            <w:tcW w:w="85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4912" w:type="dxa"/>
            <w:vAlign w:val="center"/>
          </w:tcPr>
          <w:p>
            <w:pPr>
              <w:rPr>
                <w:rFonts w:hint="default" w:ascii="宋体" w:hAnsi="宋体" w:eastAsia="宋体" w:cs="宋体"/>
                <w:b/>
                <w:bCs/>
                <w:kern w:val="2"/>
                <w:sz w:val="21"/>
                <w:szCs w:val="21"/>
                <w:lang w:val="en-US" w:eastAsia="zh-CN" w:bidi="ar-SA"/>
              </w:rPr>
            </w:pPr>
            <w:r>
              <w:rPr>
                <w:rFonts w:ascii="宋体" w:hAnsi="宋体" w:eastAsia="宋体" w:cs="宋体"/>
                <w:sz w:val="21"/>
                <w:szCs w:val="21"/>
              </w:rPr>
              <w:t>基材采用国家合格</w:t>
            </w:r>
            <w:r>
              <w:rPr>
                <w:rFonts w:hint="eastAsia" w:ascii="宋体" w:hAnsi="宋体" w:eastAsia="宋体" w:cs="宋体"/>
                <w:sz w:val="21"/>
                <w:szCs w:val="21"/>
              </w:rPr>
              <w:t>优质多层板</w:t>
            </w:r>
            <w:r>
              <w:rPr>
                <w:rFonts w:ascii="宋体" w:hAnsi="宋体" w:eastAsia="宋体" w:cs="宋体"/>
                <w:sz w:val="21"/>
                <w:szCs w:val="21"/>
              </w:rPr>
              <w:t>;经过防虫、防腐的化学处理、强度高、刚性好、不变形、比重合理，达到国际握钉力测试标准。</w:t>
            </w:r>
            <w:r>
              <w:rPr>
                <w:rFonts w:hint="eastAsia" w:ascii="宋体" w:hAnsi="宋体" w:eastAsia="宋体" w:cs="宋体"/>
                <w:sz w:val="21"/>
                <w:szCs w:val="21"/>
              </w:rPr>
              <w:t>加厚桌面，承重力更加强，</w:t>
            </w:r>
            <w:r>
              <w:rPr>
                <w:rFonts w:ascii="宋体" w:hAnsi="宋体" w:eastAsia="宋体" w:cs="宋体"/>
                <w:sz w:val="21"/>
                <w:szCs w:val="21"/>
              </w:rPr>
              <w:t>五金配件:采用优质国产五金配件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1214"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餐椅</w:t>
            </w:r>
          </w:p>
        </w:tc>
        <w:tc>
          <w:tcPr>
            <w:tcW w:w="198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常规</w:t>
            </w:r>
          </w:p>
        </w:tc>
        <w:tc>
          <w:tcPr>
            <w:tcW w:w="85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w:t>
            </w:r>
          </w:p>
        </w:tc>
        <w:tc>
          <w:tcPr>
            <w:tcW w:w="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40</w:t>
            </w:r>
          </w:p>
        </w:tc>
        <w:tc>
          <w:tcPr>
            <w:tcW w:w="4912" w:type="dxa"/>
            <w:vAlign w:val="center"/>
          </w:tcPr>
          <w:p>
            <w:pPr>
              <w:rPr>
                <w:rFonts w:ascii="宋体" w:hAnsi="宋体" w:eastAsia="宋体" w:cs="宋体"/>
                <w:sz w:val="21"/>
                <w:szCs w:val="21"/>
              </w:rPr>
            </w:pPr>
          </w:p>
          <w:p>
            <w:pPr>
              <w:rPr>
                <w:rFonts w:hint="default" w:ascii="宋体" w:hAnsi="宋体" w:eastAsia="宋体" w:cs="宋体"/>
                <w:b/>
                <w:bCs/>
                <w:kern w:val="2"/>
                <w:sz w:val="21"/>
                <w:szCs w:val="21"/>
                <w:lang w:val="en-US" w:eastAsia="zh-CN" w:bidi="ar-SA"/>
              </w:rPr>
            </w:pPr>
            <w:r>
              <w:rPr>
                <w:rFonts w:hint="eastAsia" w:ascii="宋体" w:hAnsi="宋体" w:eastAsia="宋体" w:cs="宋体"/>
                <w:sz w:val="21"/>
                <w:szCs w:val="21"/>
              </w:rPr>
              <w:t>采用牛角造型，环抱式靠背，符合人体工学设计，坐垫填充高密度海绵，加粗椅腿防滑耐磨，承重力好。</w:t>
            </w:r>
          </w:p>
        </w:tc>
      </w:tr>
    </w:tbl>
    <w:p>
      <w:pPr>
        <w:pStyle w:val="2"/>
        <w:ind w:left="0" w:leftChars="0" w:firstLine="0" w:firstLineChars="0"/>
        <w:sectPr>
          <w:footerReference r:id="rId3" w:type="default"/>
          <w:pgSz w:w="11906" w:h="16838"/>
          <w:pgMar w:top="1134" w:right="850" w:bottom="1134" w:left="850" w:header="851" w:footer="992" w:gutter="0"/>
          <w:cols w:space="0" w:num="1"/>
          <w:docGrid w:type="lines" w:linePitch="312" w:charSpace="0"/>
        </w:sectPr>
      </w:pPr>
    </w:p>
    <w:p>
      <w:pPr>
        <w:pStyle w:val="8"/>
        <w:spacing w:line="320" w:lineRule="exact"/>
        <w:jc w:val="center"/>
        <w:rPr>
          <w:rFonts w:hAnsi="宋体" w:cs="宋体"/>
          <w:b/>
          <w:bCs/>
          <w:sz w:val="32"/>
          <w:szCs w:val="32"/>
        </w:rPr>
      </w:pPr>
      <w:r>
        <w:rPr>
          <w:rFonts w:hint="eastAsia" w:hAnsi="宋体" w:eastAsia="宋体" w:cs="宋体"/>
          <w:b/>
          <w:bCs/>
          <w:sz w:val="32"/>
          <w:szCs w:val="32"/>
        </w:rPr>
        <w:t>评分办法</w:t>
      </w:r>
    </w:p>
    <w:p>
      <w:pPr>
        <w:pStyle w:val="8"/>
        <w:spacing w:line="320" w:lineRule="exact"/>
        <w:ind w:firstLine="472" w:firstLineChars="196"/>
        <w:rPr>
          <w:rFonts w:hAnsi="宋体" w:cs="宋体"/>
          <w:b/>
          <w:bCs/>
          <w:sz w:val="24"/>
          <w:szCs w:val="24"/>
        </w:rPr>
      </w:pPr>
    </w:p>
    <w:p>
      <w:pPr>
        <w:pStyle w:val="8"/>
        <w:spacing w:line="440" w:lineRule="exact"/>
        <w:ind w:firstLine="472" w:firstLineChars="196"/>
        <w:rPr>
          <w:rFonts w:hAnsi="宋体" w:cs="宋体"/>
          <w:b/>
          <w:bCs/>
          <w:sz w:val="24"/>
          <w:szCs w:val="24"/>
        </w:rPr>
      </w:pPr>
      <w:r>
        <w:rPr>
          <w:rFonts w:hint="eastAsia" w:hAnsi="宋体" w:eastAsia="宋体" w:cs="宋体"/>
          <w:b/>
          <w:bCs/>
          <w:sz w:val="24"/>
          <w:szCs w:val="24"/>
        </w:rPr>
        <w:t>一、评标依据及方式</w:t>
      </w:r>
    </w:p>
    <w:p>
      <w:pPr>
        <w:pStyle w:val="8"/>
        <w:spacing w:line="440" w:lineRule="exact"/>
        <w:ind w:firstLine="480" w:firstLineChars="200"/>
        <w:rPr>
          <w:rFonts w:hAnsi="宋体" w:cs="宋体"/>
          <w:sz w:val="24"/>
          <w:szCs w:val="24"/>
        </w:rPr>
      </w:pPr>
      <w:r>
        <w:rPr>
          <w:rFonts w:hint="eastAsia" w:hAnsi="宋体" w:eastAsia="宋体" w:cs="宋体"/>
          <w:sz w:val="24"/>
          <w:szCs w:val="24"/>
        </w:rPr>
        <w:t>1.评标依据：医院询价小组以询价文件和投标文件为评标依据，对投标人的投标文件进行评审。</w:t>
      </w:r>
    </w:p>
    <w:p>
      <w:pPr>
        <w:pStyle w:val="8"/>
        <w:spacing w:line="440" w:lineRule="exact"/>
        <w:ind w:firstLine="480" w:firstLineChars="200"/>
        <w:rPr>
          <w:rFonts w:hAnsi="宋体" w:cs="宋体"/>
          <w:sz w:val="24"/>
          <w:szCs w:val="24"/>
        </w:rPr>
      </w:pPr>
      <w:r>
        <w:rPr>
          <w:rFonts w:hint="eastAsia" w:hAnsi="宋体" w:eastAsia="宋体" w:cs="宋体"/>
          <w:sz w:val="24"/>
          <w:szCs w:val="24"/>
        </w:rPr>
        <w:t>2.评标方式：以封闭方式进行评</w:t>
      </w:r>
      <w:r>
        <w:rPr>
          <w:rFonts w:hint="eastAsia" w:hAnsi="宋体" w:cs="宋体"/>
          <w:sz w:val="24"/>
          <w:szCs w:val="24"/>
        </w:rPr>
        <w:t>审</w:t>
      </w:r>
      <w:r>
        <w:rPr>
          <w:rFonts w:hint="eastAsia" w:hAnsi="宋体" w:eastAsia="宋体" w:cs="宋体"/>
          <w:sz w:val="24"/>
          <w:szCs w:val="24"/>
        </w:rPr>
        <w:t>。</w:t>
      </w:r>
    </w:p>
    <w:p>
      <w:pPr>
        <w:pStyle w:val="8"/>
        <w:spacing w:line="440" w:lineRule="exact"/>
        <w:ind w:firstLine="480" w:firstLineChars="200"/>
        <w:rPr>
          <w:rFonts w:hAnsi="宋体" w:cs="宋体"/>
          <w:sz w:val="24"/>
          <w:szCs w:val="24"/>
        </w:rPr>
      </w:pPr>
      <w:r>
        <w:rPr>
          <w:rFonts w:hint="eastAsia" w:hAnsi="宋体" w:eastAsia="宋体" w:cs="宋体"/>
          <w:sz w:val="24"/>
          <w:szCs w:val="24"/>
        </w:rPr>
        <w:t>3.根据财库〔2012〕69号文规定，医院询价小组成员要严格遵守采购相关法律制度，依法履行各自职责，公正、客观、审慎地组织和参与评审工作。各部分所占的分值如下：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1701"/>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tcPr>
          <w:p>
            <w:pPr>
              <w:pStyle w:val="8"/>
              <w:spacing w:line="440" w:lineRule="exact"/>
              <w:jc w:val="center"/>
              <w:rPr>
                <w:rFonts w:hAnsi="宋体" w:cs="宋体"/>
                <w:sz w:val="24"/>
                <w:szCs w:val="24"/>
              </w:rPr>
            </w:pPr>
            <w:r>
              <w:rPr>
                <w:rFonts w:hint="eastAsia" w:hAnsi="宋体" w:eastAsia="宋体" w:cs="宋体"/>
                <w:sz w:val="24"/>
                <w:szCs w:val="24"/>
              </w:rPr>
              <w:t>价格分</w:t>
            </w:r>
          </w:p>
        </w:tc>
        <w:tc>
          <w:tcPr>
            <w:tcW w:w="1701" w:type="dxa"/>
          </w:tcPr>
          <w:p>
            <w:pPr>
              <w:pStyle w:val="8"/>
              <w:spacing w:line="440" w:lineRule="exact"/>
              <w:jc w:val="center"/>
              <w:rPr>
                <w:rFonts w:hAnsi="宋体" w:cs="宋体"/>
                <w:sz w:val="24"/>
                <w:szCs w:val="24"/>
              </w:rPr>
            </w:pPr>
            <w:r>
              <w:rPr>
                <w:rFonts w:hint="eastAsia" w:hAnsi="宋体" w:eastAsia="宋体" w:cs="宋体"/>
                <w:sz w:val="24"/>
                <w:szCs w:val="24"/>
              </w:rPr>
              <w:t>样品分</w:t>
            </w:r>
          </w:p>
        </w:tc>
        <w:tc>
          <w:tcPr>
            <w:tcW w:w="1984" w:type="dxa"/>
          </w:tcPr>
          <w:p>
            <w:pPr>
              <w:pStyle w:val="8"/>
              <w:spacing w:line="440" w:lineRule="exact"/>
              <w:jc w:val="center"/>
              <w:rPr>
                <w:rFonts w:hAnsi="宋体" w:cs="宋体"/>
                <w:sz w:val="24"/>
                <w:szCs w:val="24"/>
              </w:rPr>
            </w:pPr>
            <w:r>
              <w:rPr>
                <w:rFonts w:hint="eastAsia" w:hAnsi="宋体" w:eastAsia="宋体" w:cs="宋体"/>
                <w:sz w:val="24"/>
                <w:szCs w:val="24"/>
              </w:rPr>
              <w:t>履约能力保障分</w:t>
            </w:r>
          </w:p>
        </w:tc>
        <w:tc>
          <w:tcPr>
            <w:tcW w:w="1843" w:type="dxa"/>
          </w:tcPr>
          <w:p>
            <w:pPr>
              <w:pStyle w:val="8"/>
              <w:spacing w:line="440" w:lineRule="exact"/>
              <w:jc w:val="center"/>
              <w:rPr>
                <w:rFonts w:hAnsi="宋体" w:cs="宋体"/>
                <w:sz w:val="24"/>
                <w:szCs w:val="24"/>
              </w:rPr>
            </w:pPr>
            <w:r>
              <w:rPr>
                <w:rFonts w:hint="eastAsia" w:hAnsi="宋体" w:eastAsia="宋体" w:cs="宋体"/>
                <w:sz w:val="24"/>
                <w:szCs w:val="24"/>
              </w:rPr>
              <w:t>售后服务分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tcPr>
          <w:p>
            <w:pPr>
              <w:pStyle w:val="8"/>
              <w:spacing w:line="440" w:lineRule="exact"/>
              <w:jc w:val="center"/>
              <w:rPr>
                <w:rFonts w:hint="default" w:hAnsi="宋体" w:cs="宋体" w:eastAsiaTheme="minorEastAsia"/>
                <w:sz w:val="24"/>
                <w:szCs w:val="24"/>
                <w:lang w:val="en-US" w:eastAsia="zh-CN"/>
              </w:rPr>
            </w:pPr>
            <w:r>
              <w:rPr>
                <w:rFonts w:hint="eastAsia" w:hAnsi="宋体" w:eastAsia="宋体" w:cs="宋体"/>
                <w:sz w:val="24"/>
                <w:szCs w:val="24"/>
                <w:lang w:val="en-US" w:eastAsia="zh-CN"/>
              </w:rPr>
              <w:t>35</w:t>
            </w:r>
          </w:p>
        </w:tc>
        <w:tc>
          <w:tcPr>
            <w:tcW w:w="1701" w:type="dxa"/>
          </w:tcPr>
          <w:p>
            <w:pPr>
              <w:pStyle w:val="8"/>
              <w:spacing w:line="440" w:lineRule="exact"/>
              <w:jc w:val="center"/>
              <w:rPr>
                <w:rFonts w:hAnsi="宋体" w:cs="宋体"/>
                <w:sz w:val="24"/>
                <w:szCs w:val="24"/>
              </w:rPr>
            </w:pPr>
            <w:r>
              <w:rPr>
                <w:rFonts w:hint="eastAsia" w:hAnsi="宋体" w:eastAsia="宋体" w:cs="宋体"/>
                <w:sz w:val="24"/>
                <w:szCs w:val="24"/>
              </w:rPr>
              <w:t>24</w:t>
            </w:r>
          </w:p>
        </w:tc>
        <w:tc>
          <w:tcPr>
            <w:tcW w:w="1984" w:type="dxa"/>
          </w:tcPr>
          <w:p>
            <w:pPr>
              <w:pStyle w:val="8"/>
              <w:spacing w:line="440" w:lineRule="exact"/>
              <w:jc w:val="center"/>
              <w:rPr>
                <w:rFonts w:hAnsi="宋体" w:cs="宋体"/>
                <w:sz w:val="24"/>
                <w:szCs w:val="24"/>
              </w:rPr>
            </w:pPr>
            <w:r>
              <w:rPr>
                <w:rFonts w:hint="eastAsia" w:hAnsi="宋体" w:cs="宋体"/>
                <w:sz w:val="24"/>
                <w:szCs w:val="24"/>
              </w:rPr>
              <w:t>24</w:t>
            </w:r>
          </w:p>
        </w:tc>
        <w:tc>
          <w:tcPr>
            <w:tcW w:w="1843" w:type="dxa"/>
          </w:tcPr>
          <w:p>
            <w:pPr>
              <w:pStyle w:val="8"/>
              <w:spacing w:line="440" w:lineRule="exact"/>
              <w:jc w:val="center"/>
              <w:rPr>
                <w:rFonts w:hAnsi="宋体" w:cs="宋体"/>
                <w:sz w:val="24"/>
                <w:szCs w:val="24"/>
              </w:rPr>
            </w:pPr>
            <w:r>
              <w:rPr>
                <w:rFonts w:hint="eastAsia" w:hAnsi="宋体" w:cs="宋体"/>
                <w:sz w:val="24"/>
                <w:szCs w:val="24"/>
              </w:rPr>
              <w:t>17</w:t>
            </w:r>
          </w:p>
        </w:tc>
      </w:tr>
    </w:tbl>
    <w:p>
      <w:pPr>
        <w:pStyle w:val="8"/>
        <w:spacing w:line="440" w:lineRule="exact"/>
        <w:ind w:firstLine="482" w:firstLineChars="200"/>
        <w:rPr>
          <w:rFonts w:hAnsi="宋体" w:cs="宋体"/>
          <w:b/>
          <w:bCs/>
          <w:sz w:val="24"/>
          <w:szCs w:val="24"/>
        </w:rPr>
      </w:pPr>
      <w:r>
        <w:rPr>
          <w:rFonts w:hint="eastAsia" w:hAnsi="宋体" w:eastAsia="宋体" w:cs="宋体"/>
          <w:b/>
          <w:bCs/>
          <w:sz w:val="24"/>
          <w:szCs w:val="24"/>
        </w:rPr>
        <w:t>二、评标办法及评分标准</w:t>
      </w:r>
    </w:p>
    <w:p>
      <w:pPr>
        <w:pStyle w:val="8"/>
        <w:spacing w:line="440" w:lineRule="exact"/>
        <w:ind w:firstLine="480" w:firstLineChars="200"/>
        <w:rPr>
          <w:rFonts w:hAnsi="宋体" w:cs="宋体"/>
          <w:bCs/>
          <w:sz w:val="24"/>
          <w:szCs w:val="24"/>
        </w:rPr>
      </w:pPr>
      <w:r>
        <w:rPr>
          <w:rFonts w:hint="eastAsia" w:hAnsi="宋体" w:eastAsia="宋体" w:cs="宋体"/>
          <w:bCs/>
          <w:sz w:val="24"/>
          <w:szCs w:val="24"/>
        </w:rPr>
        <w:t>（一）对进入详评的，采用综合评分法。</w:t>
      </w:r>
    </w:p>
    <w:p>
      <w:pPr>
        <w:pStyle w:val="8"/>
        <w:spacing w:line="440" w:lineRule="exact"/>
        <w:ind w:firstLine="480" w:firstLineChars="200"/>
        <w:rPr>
          <w:rFonts w:hAnsi="宋体" w:cs="宋体"/>
          <w:bCs/>
          <w:sz w:val="24"/>
          <w:szCs w:val="24"/>
        </w:rPr>
      </w:pPr>
      <w:r>
        <w:rPr>
          <w:rFonts w:hint="eastAsia" w:hAnsi="宋体" w:eastAsia="宋体" w:cs="宋体"/>
          <w:bCs/>
          <w:sz w:val="24"/>
          <w:szCs w:val="24"/>
        </w:rPr>
        <w:t>（二）计分办法（按四舍五入取至小数点后二位）</w:t>
      </w:r>
    </w:p>
    <w:p>
      <w:pPr>
        <w:pStyle w:val="8"/>
        <w:spacing w:line="440" w:lineRule="exact"/>
        <w:ind w:firstLine="482" w:firstLineChars="200"/>
        <w:rPr>
          <w:rFonts w:hAnsi="宋体" w:cs="宋体"/>
          <w:bCs/>
          <w:sz w:val="24"/>
          <w:szCs w:val="24"/>
        </w:rPr>
      </w:pPr>
      <w:r>
        <w:rPr>
          <w:rFonts w:hint="eastAsia" w:hAnsi="宋体" w:eastAsia="宋体" w:cs="宋体"/>
          <w:b/>
          <w:sz w:val="24"/>
          <w:szCs w:val="24"/>
        </w:rPr>
        <w:t xml:space="preserve">1. </w:t>
      </w:r>
      <w:r>
        <w:rPr>
          <w:rFonts w:hint="eastAsia" w:hAnsi="宋体" w:eastAsia="宋体" w:cs="宋体"/>
          <w:b/>
          <w:bCs/>
          <w:sz w:val="24"/>
          <w:szCs w:val="24"/>
        </w:rPr>
        <w:t>价格分……………………………………………………………………………</w:t>
      </w:r>
      <w:r>
        <w:rPr>
          <w:rFonts w:hint="eastAsia" w:hAnsi="宋体" w:eastAsia="宋体" w:cs="宋体"/>
          <w:b/>
          <w:bCs/>
          <w:sz w:val="24"/>
          <w:szCs w:val="24"/>
          <w:lang w:val="en-US" w:eastAsia="zh-CN"/>
        </w:rPr>
        <w:t>35</w:t>
      </w:r>
      <w:r>
        <w:rPr>
          <w:rFonts w:hint="eastAsia" w:hAnsi="宋体" w:eastAsia="宋体" w:cs="宋体"/>
          <w:b/>
          <w:bCs/>
          <w:sz w:val="24"/>
          <w:szCs w:val="24"/>
        </w:rPr>
        <w:t>分</w:t>
      </w:r>
    </w:p>
    <w:p>
      <w:pPr>
        <w:snapToGrid w:val="0"/>
        <w:spacing w:line="440" w:lineRule="exact"/>
        <w:ind w:firstLine="480" w:firstLineChars="200"/>
        <w:rPr>
          <w:rFonts w:ascii="宋体" w:hAnsi="宋体" w:cs="宋体"/>
          <w:bCs/>
          <w:sz w:val="24"/>
        </w:rPr>
      </w:pPr>
      <w:r>
        <w:rPr>
          <w:rFonts w:hint="eastAsia" w:ascii="宋体" w:hAnsi="宋体" w:eastAsia="宋体" w:cs="宋体"/>
          <w:bCs/>
          <w:sz w:val="24"/>
        </w:rPr>
        <w:t>（1）以进入综合评分环节的最低的评标报价为基准价，基准价报价得分为35分。</w:t>
      </w:r>
    </w:p>
    <w:p>
      <w:pPr>
        <w:spacing w:line="440" w:lineRule="exact"/>
        <w:ind w:firstLine="480" w:firstLineChars="200"/>
        <w:rPr>
          <w:rFonts w:ascii="宋体" w:hAnsi="宋体" w:cs="宋体"/>
          <w:bCs/>
          <w:sz w:val="24"/>
        </w:rPr>
      </w:pPr>
      <w:r>
        <w:rPr>
          <w:rFonts w:hint="eastAsia" w:ascii="宋体" w:hAnsi="宋体" w:eastAsia="宋体" w:cs="宋体"/>
          <w:bCs/>
          <w:sz w:val="24"/>
        </w:rPr>
        <w:t xml:space="preserve">（2）价格分计算公式：        </w:t>
      </w:r>
    </w:p>
    <w:p>
      <w:pPr>
        <w:pStyle w:val="8"/>
        <w:spacing w:line="440" w:lineRule="exact"/>
        <w:ind w:firstLine="480" w:firstLineChars="200"/>
        <w:rPr>
          <w:rFonts w:hAnsi="宋体" w:cs="宋体"/>
          <w:b/>
          <w:sz w:val="24"/>
          <w:szCs w:val="24"/>
        </w:rPr>
      </w:pPr>
      <w:r>
        <w:rPr>
          <w:rFonts w:hint="eastAsia" w:hAnsi="宋体" w:eastAsia="宋体" w:cs="宋体"/>
          <w:bCs/>
          <w:sz w:val="24"/>
          <w:szCs w:val="24"/>
        </w:rPr>
        <w:t xml:space="preserve">某投标人价格分=基准价/某投标人评标报价金额×35分 </w:t>
      </w:r>
      <w:r>
        <w:rPr>
          <w:rFonts w:hint="eastAsia" w:hAnsi="宋体" w:eastAsia="宋体" w:cs="宋体"/>
          <w:sz w:val="24"/>
          <w:szCs w:val="24"/>
        </w:rPr>
        <w:t xml:space="preserve">                 　  </w:t>
      </w:r>
      <w:r>
        <w:rPr>
          <w:rFonts w:hint="eastAsia" w:hAnsi="宋体" w:eastAsia="宋体" w:cs="宋体"/>
          <w:b/>
          <w:sz w:val="24"/>
          <w:szCs w:val="24"/>
        </w:rPr>
        <w:t xml:space="preserve">          </w:t>
      </w:r>
    </w:p>
    <w:p>
      <w:pPr>
        <w:pStyle w:val="8"/>
        <w:spacing w:line="440" w:lineRule="exact"/>
        <w:ind w:firstLine="482" w:firstLineChars="200"/>
        <w:rPr>
          <w:rFonts w:hAnsi="宋体" w:cs="宋体"/>
          <w:b/>
          <w:bCs/>
          <w:sz w:val="24"/>
          <w:szCs w:val="24"/>
        </w:rPr>
      </w:pPr>
      <w:r>
        <w:rPr>
          <w:rFonts w:hint="eastAsia" w:hAnsi="宋体" w:eastAsia="宋体" w:cs="宋体"/>
          <w:b/>
          <w:sz w:val="24"/>
          <w:szCs w:val="24"/>
        </w:rPr>
        <w:t xml:space="preserve">2. </w:t>
      </w:r>
      <w:r>
        <w:rPr>
          <w:rFonts w:hint="eastAsia" w:hAnsi="宋体" w:eastAsia="宋体" w:cs="宋体"/>
          <w:b/>
          <w:bCs/>
          <w:sz w:val="24"/>
          <w:szCs w:val="24"/>
        </w:rPr>
        <w:t>样品分……………………………………………………………………………24分</w:t>
      </w:r>
    </w:p>
    <w:p>
      <w:pPr>
        <w:pStyle w:val="8"/>
        <w:spacing w:line="440" w:lineRule="exact"/>
        <w:ind w:firstLine="480" w:firstLineChars="200"/>
        <w:rPr>
          <w:rFonts w:hAnsi="宋体" w:cs="宋体"/>
          <w:sz w:val="24"/>
          <w:szCs w:val="24"/>
        </w:rPr>
      </w:pPr>
      <w:r>
        <w:rPr>
          <w:rFonts w:hint="eastAsia" w:hAnsi="宋体" w:eastAsia="宋体" w:cs="宋体"/>
          <w:sz w:val="24"/>
          <w:szCs w:val="24"/>
        </w:rPr>
        <w:t>（1）</w:t>
      </w:r>
      <w:r>
        <w:rPr>
          <w:rFonts w:hint="eastAsia" w:asciiTheme="minorEastAsia" w:hAnsiTheme="minorEastAsia" w:eastAsiaTheme="minorEastAsia" w:cstheme="minorEastAsia"/>
          <w:b w:val="0"/>
          <w:bCs/>
          <w:color w:val="000000"/>
          <w:sz w:val="24"/>
          <w:szCs w:val="24"/>
        </w:rPr>
        <w:t>【</w:t>
      </w:r>
      <w:r>
        <w:rPr>
          <w:rFonts w:hint="eastAsia" w:hAnsi="宋体" w:eastAsia="宋体" w:cs="宋体"/>
          <w:color w:val="000000"/>
          <w:kern w:val="0"/>
          <w:sz w:val="21"/>
          <w:szCs w:val="21"/>
          <w:lang w:val="en-US" w:eastAsia="zh-CN"/>
        </w:rPr>
        <w:t>猫抓皮</w:t>
      </w:r>
      <w:bookmarkStart w:id="0" w:name="_GoBack"/>
      <w:bookmarkEnd w:id="0"/>
      <w:r>
        <w:rPr>
          <w:rFonts w:hint="eastAsia" w:asciiTheme="minorEastAsia" w:hAnsiTheme="minorEastAsia" w:eastAsiaTheme="minorEastAsia" w:cstheme="minorEastAsia"/>
          <w:b w:val="0"/>
          <w:bCs/>
          <w:color w:val="000000"/>
          <w:sz w:val="24"/>
          <w:szCs w:val="24"/>
        </w:rPr>
        <w:t>】</w:t>
      </w:r>
      <w:r>
        <w:rPr>
          <w:rFonts w:hint="eastAsia" w:hAnsi="宋体" w:eastAsia="宋体" w:cs="宋体"/>
          <w:sz w:val="24"/>
          <w:szCs w:val="24"/>
        </w:rPr>
        <w:t>小样分</w:t>
      </w:r>
    </w:p>
    <w:p>
      <w:pPr>
        <w:pStyle w:val="8"/>
        <w:spacing w:line="440" w:lineRule="exact"/>
        <w:ind w:firstLine="480" w:firstLineChars="200"/>
        <w:rPr>
          <w:rFonts w:hAnsi="宋体" w:cs="宋体"/>
          <w:sz w:val="24"/>
          <w:szCs w:val="24"/>
        </w:rPr>
      </w:pPr>
      <w:r>
        <w:rPr>
          <w:rFonts w:hint="eastAsia" w:hAnsi="宋体" w:eastAsia="宋体" w:cs="宋体"/>
          <w:sz w:val="24"/>
          <w:szCs w:val="24"/>
        </w:rPr>
        <w:t>由评委根据各投标人所提供</w:t>
      </w:r>
      <w:r>
        <w:rPr>
          <w:rFonts w:hint="eastAsia" w:asciiTheme="minorEastAsia" w:hAnsiTheme="minorEastAsia" w:eastAsiaTheme="minorEastAsia" w:cstheme="minorEastAsia"/>
          <w:b w:val="0"/>
          <w:bCs/>
          <w:color w:val="000000"/>
          <w:sz w:val="24"/>
          <w:szCs w:val="24"/>
        </w:rPr>
        <w:t>椅面</w:t>
      </w:r>
      <w:r>
        <w:rPr>
          <w:rFonts w:hint="eastAsia" w:hAnsi="宋体" w:eastAsia="宋体" w:cs="宋体"/>
          <w:sz w:val="24"/>
          <w:szCs w:val="24"/>
        </w:rPr>
        <w:t>小样的质量情况：①材质用料（1～</w:t>
      </w:r>
      <w:r>
        <w:rPr>
          <w:rFonts w:hint="eastAsia" w:hAnsi="宋体" w:eastAsia="宋体" w:cs="宋体"/>
          <w:sz w:val="24"/>
          <w:szCs w:val="24"/>
          <w:lang w:val="en-US" w:eastAsia="zh-CN"/>
        </w:rPr>
        <w:t>6</w:t>
      </w:r>
      <w:r>
        <w:rPr>
          <w:rFonts w:hint="eastAsia" w:hAnsi="宋体" w:eastAsia="宋体" w:cs="宋体"/>
          <w:sz w:val="24"/>
          <w:szCs w:val="24"/>
        </w:rPr>
        <w:t>分）；②工艺水平（1～</w:t>
      </w:r>
      <w:r>
        <w:rPr>
          <w:rFonts w:hint="eastAsia" w:hAnsi="宋体" w:eastAsia="宋体" w:cs="宋体"/>
          <w:sz w:val="24"/>
          <w:szCs w:val="24"/>
          <w:lang w:val="en-US" w:eastAsia="zh-CN"/>
        </w:rPr>
        <w:t>6</w:t>
      </w:r>
      <w:r>
        <w:rPr>
          <w:rFonts w:hint="eastAsia" w:hAnsi="宋体" w:eastAsia="宋体" w:cs="宋体"/>
          <w:sz w:val="24"/>
          <w:szCs w:val="24"/>
        </w:rPr>
        <w:t>分）等方面进行横向比较，并相应打分。</w:t>
      </w:r>
    </w:p>
    <w:p>
      <w:pPr>
        <w:pStyle w:val="8"/>
        <w:spacing w:line="440" w:lineRule="exact"/>
        <w:ind w:firstLine="480" w:firstLineChars="200"/>
        <w:rPr>
          <w:rFonts w:hAnsi="宋体" w:cs="宋体"/>
          <w:sz w:val="24"/>
          <w:szCs w:val="24"/>
        </w:rPr>
      </w:pPr>
      <w:r>
        <w:rPr>
          <w:rFonts w:hint="eastAsia" w:hAnsi="宋体" w:eastAsia="宋体" w:cs="宋体"/>
          <w:sz w:val="24"/>
          <w:szCs w:val="24"/>
        </w:rPr>
        <w:t>（2）【</w:t>
      </w:r>
      <w:r>
        <w:rPr>
          <w:rFonts w:hint="eastAsia" w:hAnsi="宋体" w:eastAsia="宋体" w:cs="宋体"/>
          <w:sz w:val="24"/>
          <w:szCs w:val="24"/>
          <w:lang w:val="en-US" w:eastAsia="zh-CN"/>
        </w:rPr>
        <w:t>电动餐桌“橡木”一块</w:t>
      </w:r>
      <w:r>
        <w:rPr>
          <w:rFonts w:hint="eastAsia" w:hAnsi="宋体" w:eastAsia="宋体" w:cs="宋体"/>
          <w:sz w:val="24"/>
          <w:szCs w:val="24"/>
        </w:rPr>
        <w:t>】小样分</w:t>
      </w:r>
    </w:p>
    <w:p>
      <w:pPr>
        <w:pStyle w:val="8"/>
        <w:spacing w:line="440" w:lineRule="exact"/>
        <w:ind w:firstLine="480" w:firstLineChars="200"/>
        <w:rPr>
          <w:rFonts w:hAnsi="宋体" w:cs="宋体"/>
          <w:sz w:val="24"/>
          <w:szCs w:val="24"/>
        </w:rPr>
      </w:pPr>
      <w:r>
        <w:rPr>
          <w:rFonts w:hint="eastAsia" w:hAnsi="宋体" w:eastAsia="宋体" w:cs="宋体"/>
          <w:sz w:val="24"/>
          <w:szCs w:val="24"/>
        </w:rPr>
        <w:t>由评委根据各投标人所提供小样的的质量情况：①材质用料（1～</w:t>
      </w:r>
      <w:r>
        <w:rPr>
          <w:rFonts w:hint="eastAsia" w:hAnsi="宋体" w:eastAsia="宋体" w:cs="宋体"/>
          <w:sz w:val="24"/>
          <w:szCs w:val="24"/>
          <w:lang w:val="en-US" w:eastAsia="zh-CN"/>
        </w:rPr>
        <w:t>6</w:t>
      </w:r>
      <w:r>
        <w:rPr>
          <w:rFonts w:hint="eastAsia" w:hAnsi="宋体" w:eastAsia="宋体" w:cs="宋体"/>
          <w:sz w:val="24"/>
          <w:szCs w:val="24"/>
        </w:rPr>
        <w:t>分）；②工艺水平（1～</w:t>
      </w:r>
      <w:r>
        <w:rPr>
          <w:rFonts w:hint="eastAsia" w:hAnsi="宋体" w:eastAsia="宋体" w:cs="宋体"/>
          <w:sz w:val="24"/>
          <w:szCs w:val="24"/>
          <w:lang w:val="en-US" w:eastAsia="zh-CN"/>
        </w:rPr>
        <w:t>6</w:t>
      </w:r>
      <w:r>
        <w:rPr>
          <w:rFonts w:hint="eastAsia" w:hAnsi="宋体" w:eastAsia="宋体" w:cs="宋体"/>
          <w:sz w:val="24"/>
          <w:szCs w:val="24"/>
        </w:rPr>
        <w:t>分）等方面进行横向比较，并相应打分。</w:t>
      </w:r>
    </w:p>
    <w:p>
      <w:pPr>
        <w:spacing w:line="440" w:lineRule="exact"/>
        <w:ind w:firstLine="482" w:firstLineChars="200"/>
        <w:rPr>
          <w:rFonts w:ascii="宋体" w:hAnsi="宋体" w:cs="宋体"/>
          <w:sz w:val="24"/>
        </w:rPr>
      </w:pPr>
      <w:r>
        <w:rPr>
          <w:rFonts w:hint="eastAsia" w:ascii="宋体" w:hAnsi="宋体" w:eastAsia="宋体" w:cs="宋体"/>
          <w:b/>
          <w:sz w:val="24"/>
        </w:rPr>
        <w:t>3.履约能力保障分……………………………………………………………………</w:t>
      </w:r>
      <w:r>
        <w:rPr>
          <w:rFonts w:hint="eastAsia" w:ascii="宋体" w:hAnsi="宋体" w:cs="宋体"/>
          <w:b/>
          <w:sz w:val="24"/>
        </w:rPr>
        <w:t>24</w:t>
      </w:r>
      <w:r>
        <w:rPr>
          <w:rFonts w:hint="eastAsia" w:ascii="宋体" w:hAnsi="宋体" w:eastAsia="宋体" w:cs="宋体"/>
          <w:sz w:val="24"/>
        </w:rPr>
        <w:t>分</w:t>
      </w:r>
    </w:p>
    <w:p>
      <w:pPr>
        <w:pStyle w:val="8"/>
        <w:spacing w:line="440" w:lineRule="exact"/>
        <w:ind w:firstLine="480" w:firstLineChars="200"/>
        <w:rPr>
          <w:rFonts w:hAnsi="宋体" w:cs="宋体"/>
          <w:sz w:val="24"/>
          <w:szCs w:val="24"/>
        </w:rPr>
      </w:pPr>
      <w:r>
        <w:rPr>
          <w:rFonts w:hint="eastAsia" w:hAnsi="宋体" w:eastAsia="宋体" w:cs="宋体"/>
          <w:sz w:val="24"/>
          <w:szCs w:val="24"/>
        </w:rPr>
        <w:t>（1）信誉分(8分）：</w:t>
      </w:r>
    </w:p>
    <w:p>
      <w:pPr>
        <w:pStyle w:val="8"/>
        <w:spacing w:line="440" w:lineRule="exact"/>
        <w:ind w:firstLine="480" w:firstLineChars="200"/>
        <w:rPr>
          <w:rFonts w:hAnsi="宋体" w:cs="宋体"/>
          <w:sz w:val="24"/>
          <w:szCs w:val="24"/>
        </w:rPr>
      </w:pPr>
      <w:r>
        <w:rPr>
          <w:rFonts w:hint="eastAsia" w:hAnsi="宋体" w:eastAsia="宋体" w:cs="宋体"/>
          <w:sz w:val="24"/>
          <w:szCs w:val="24"/>
        </w:rPr>
        <w:t>①投标人或生产厂家获得</w:t>
      </w:r>
      <w:r>
        <w:rPr>
          <w:rFonts w:hint="eastAsia" w:hAnsi="宋体" w:eastAsia="宋体" w:cs="宋体"/>
          <w:color w:val="000000"/>
          <w:kern w:val="0"/>
          <w:sz w:val="24"/>
          <w:szCs w:val="24"/>
        </w:rPr>
        <w:t>ISO9001质量管理体系认证</w:t>
      </w:r>
      <w:r>
        <w:rPr>
          <w:rFonts w:hint="eastAsia" w:hAnsi="宋体" w:eastAsia="宋体" w:cs="宋体"/>
          <w:sz w:val="24"/>
          <w:szCs w:val="24"/>
        </w:rPr>
        <w:t xml:space="preserve">得1分。     </w:t>
      </w:r>
    </w:p>
    <w:p>
      <w:pPr>
        <w:pStyle w:val="8"/>
        <w:spacing w:line="440" w:lineRule="exact"/>
        <w:ind w:firstLine="480" w:firstLineChars="200"/>
        <w:rPr>
          <w:rFonts w:hAnsi="宋体" w:cs="宋体"/>
          <w:sz w:val="24"/>
          <w:szCs w:val="24"/>
        </w:rPr>
      </w:pPr>
      <w:r>
        <w:rPr>
          <w:rFonts w:hint="eastAsia" w:hAnsi="宋体" w:cs="宋体"/>
          <w:sz w:val="24"/>
          <w:szCs w:val="24"/>
        </w:rPr>
        <w:fldChar w:fldCharType="begin"/>
      </w:r>
      <w:r>
        <w:rPr>
          <w:rFonts w:hint="eastAsia" w:hAnsi="宋体" w:eastAsia="宋体" w:cs="宋体"/>
          <w:sz w:val="24"/>
          <w:szCs w:val="24"/>
        </w:rPr>
        <w:instrText xml:space="preserve"> = 2 \* GB3 </w:instrText>
      </w:r>
      <w:r>
        <w:rPr>
          <w:rFonts w:hint="eastAsia" w:hAnsi="宋体" w:cs="宋体"/>
          <w:sz w:val="24"/>
          <w:szCs w:val="24"/>
        </w:rPr>
        <w:fldChar w:fldCharType="separate"/>
      </w:r>
      <w:r>
        <w:rPr>
          <w:rFonts w:hint="eastAsia" w:hAnsi="宋体" w:eastAsia="宋体" w:cs="宋体"/>
          <w:sz w:val="24"/>
          <w:szCs w:val="24"/>
        </w:rPr>
        <w:t>②</w:t>
      </w:r>
      <w:r>
        <w:rPr>
          <w:rFonts w:hint="eastAsia" w:hAnsi="宋体" w:cs="宋体"/>
          <w:sz w:val="24"/>
          <w:szCs w:val="24"/>
        </w:rPr>
        <w:fldChar w:fldCharType="end"/>
      </w:r>
      <w:r>
        <w:rPr>
          <w:rFonts w:hint="eastAsia" w:hAnsi="宋体" w:eastAsia="宋体" w:cs="宋体"/>
          <w:sz w:val="24"/>
          <w:szCs w:val="24"/>
        </w:rPr>
        <w:t>投标人或生产厂家获得</w:t>
      </w:r>
      <w:r>
        <w:rPr>
          <w:rFonts w:hint="eastAsia" w:hAnsi="宋体" w:eastAsia="宋体" w:cs="宋体"/>
          <w:color w:val="000000"/>
          <w:kern w:val="0"/>
          <w:sz w:val="24"/>
          <w:szCs w:val="24"/>
        </w:rPr>
        <w:t>ISO14001环境管理体系认证</w:t>
      </w:r>
      <w:r>
        <w:rPr>
          <w:rFonts w:hint="eastAsia" w:hAnsi="宋体" w:eastAsia="宋体" w:cs="宋体"/>
          <w:sz w:val="24"/>
          <w:szCs w:val="24"/>
        </w:rPr>
        <w:t>得1分。</w:t>
      </w:r>
    </w:p>
    <w:p>
      <w:pPr>
        <w:pStyle w:val="8"/>
        <w:spacing w:line="440" w:lineRule="exact"/>
        <w:ind w:firstLine="480" w:firstLineChars="200"/>
        <w:rPr>
          <w:rFonts w:hAnsi="宋体" w:cs="宋体"/>
          <w:sz w:val="24"/>
          <w:szCs w:val="24"/>
        </w:rPr>
      </w:pPr>
      <w:r>
        <w:rPr>
          <w:rFonts w:hint="eastAsia" w:hAnsi="宋体" w:eastAsia="宋体" w:cs="宋体"/>
          <w:sz w:val="24"/>
          <w:szCs w:val="24"/>
        </w:rPr>
        <w:t>③投标人或生产厂家获得五星级服务认证证书得2分。</w:t>
      </w:r>
    </w:p>
    <w:p>
      <w:pPr>
        <w:pStyle w:val="8"/>
        <w:spacing w:line="440" w:lineRule="exact"/>
        <w:ind w:firstLine="480" w:firstLineChars="200"/>
        <w:rPr>
          <w:rFonts w:hAnsi="宋体" w:cs="宋体"/>
          <w:sz w:val="24"/>
          <w:szCs w:val="24"/>
        </w:rPr>
      </w:pPr>
      <w:r>
        <w:rPr>
          <w:rFonts w:hint="eastAsia" w:hAnsi="宋体" w:eastAsia="宋体" w:cs="宋体"/>
          <w:bCs/>
          <w:sz w:val="24"/>
          <w:szCs w:val="24"/>
        </w:rPr>
        <w:t>④</w:t>
      </w:r>
      <w:r>
        <w:rPr>
          <w:rFonts w:hint="eastAsia" w:hAnsi="宋体" w:eastAsia="宋体" w:cs="宋体"/>
          <w:sz w:val="24"/>
          <w:szCs w:val="24"/>
        </w:rPr>
        <w:t>投标人所投产品通过中国环保产品认证证书（木制家具、金属家具、软体家具）得2分。</w:t>
      </w:r>
    </w:p>
    <w:p>
      <w:pPr>
        <w:pStyle w:val="8"/>
        <w:spacing w:line="440" w:lineRule="exact"/>
        <w:ind w:firstLine="480" w:firstLineChars="200"/>
        <w:rPr>
          <w:rFonts w:hAnsi="宋体" w:cs="宋体"/>
          <w:b/>
          <w:sz w:val="24"/>
          <w:szCs w:val="24"/>
          <w:highlight w:val="red"/>
        </w:rPr>
      </w:pPr>
      <w:r>
        <w:rPr>
          <w:rFonts w:hint="eastAsia" w:hAnsi="宋体" w:eastAsia="宋体" w:cs="宋体"/>
          <w:sz w:val="24"/>
          <w:szCs w:val="24"/>
        </w:rPr>
        <w:t xml:space="preserve">⑤投标人所投产品通过低VOCs家具产品认证证书（木制家具、金属家具、软体家具）得2分。  </w:t>
      </w:r>
    </w:p>
    <w:p>
      <w:pPr>
        <w:pStyle w:val="8"/>
        <w:numPr>
          <w:ilvl w:val="0"/>
          <w:numId w:val="1"/>
        </w:numPr>
        <w:spacing w:line="440" w:lineRule="exact"/>
        <w:ind w:firstLine="480" w:firstLineChars="200"/>
        <w:rPr>
          <w:rFonts w:hAnsi="宋体" w:cs="宋体"/>
          <w:sz w:val="24"/>
          <w:szCs w:val="24"/>
        </w:rPr>
      </w:pPr>
      <w:r>
        <w:rPr>
          <w:rFonts w:hint="eastAsia" w:hAnsi="宋体" w:eastAsia="宋体" w:cs="宋体"/>
          <w:sz w:val="24"/>
          <w:szCs w:val="24"/>
        </w:rPr>
        <w:t>业绩分（1</w:t>
      </w:r>
      <w:r>
        <w:rPr>
          <w:rFonts w:hint="eastAsia" w:hAnsi="宋体" w:cs="宋体"/>
          <w:sz w:val="24"/>
          <w:szCs w:val="24"/>
        </w:rPr>
        <w:t>6</w:t>
      </w:r>
      <w:r>
        <w:rPr>
          <w:rFonts w:hint="eastAsia" w:hAnsi="宋体" w:eastAsia="宋体" w:cs="宋体"/>
          <w:sz w:val="24"/>
          <w:szCs w:val="24"/>
        </w:rPr>
        <w:t>分）：</w:t>
      </w:r>
    </w:p>
    <w:p>
      <w:pPr>
        <w:pStyle w:val="8"/>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eastAsia="宋体" w:cs="宋体"/>
          <w:sz w:val="24"/>
          <w:szCs w:val="24"/>
        </w:rPr>
        <w:t>①</w:t>
      </w:r>
      <w:r>
        <w:rPr>
          <w:rFonts w:hint="eastAsia" w:hAnsi="宋体" w:cs="宋体"/>
          <w:sz w:val="24"/>
          <w:szCs w:val="24"/>
        </w:rPr>
        <w:t>2020年以来</w:t>
      </w:r>
      <w:r>
        <w:rPr>
          <w:rFonts w:hint="eastAsia" w:hAnsi="宋体" w:eastAsia="宋体" w:cs="宋体"/>
          <w:sz w:val="24"/>
          <w:szCs w:val="24"/>
        </w:rPr>
        <w:t>投标人具有三甲医院家具</w:t>
      </w:r>
      <w:r>
        <w:rPr>
          <w:rFonts w:hint="eastAsia" w:hAnsi="宋体" w:cs="宋体"/>
          <w:sz w:val="24"/>
          <w:szCs w:val="24"/>
        </w:rPr>
        <w:t>类</w:t>
      </w:r>
      <w:r>
        <w:rPr>
          <w:rFonts w:hint="eastAsia" w:hAnsi="宋体" w:eastAsia="宋体" w:cs="宋体"/>
          <w:sz w:val="24"/>
          <w:szCs w:val="24"/>
        </w:rPr>
        <w:t>销售业绩</w:t>
      </w:r>
      <w:r>
        <w:rPr>
          <w:rFonts w:hint="eastAsia" w:hAnsi="宋体" w:cs="宋体"/>
          <w:sz w:val="24"/>
          <w:szCs w:val="24"/>
        </w:rPr>
        <w:t>且≥10万元</w:t>
      </w:r>
      <w:r>
        <w:rPr>
          <w:rFonts w:hint="eastAsia" w:hAnsi="宋体" w:eastAsia="宋体" w:cs="宋体"/>
          <w:sz w:val="24"/>
          <w:szCs w:val="24"/>
        </w:rPr>
        <w:t>得</w:t>
      </w:r>
      <w:r>
        <w:rPr>
          <w:rFonts w:hint="eastAsia" w:hAnsi="宋体" w:cs="宋体"/>
          <w:sz w:val="24"/>
          <w:szCs w:val="24"/>
        </w:rPr>
        <w:t>10</w:t>
      </w:r>
      <w:r>
        <w:rPr>
          <w:rFonts w:hint="eastAsia" w:hAnsi="宋体" w:eastAsia="宋体" w:cs="宋体"/>
          <w:sz w:val="24"/>
          <w:szCs w:val="24"/>
        </w:rPr>
        <w:t>分，投标人具有三甲医院家具销售业绩</w:t>
      </w:r>
      <w:r>
        <w:rPr>
          <w:rFonts w:hint="eastAsia" w:hAnsi="宋体" w:cs="宋体"/>
          <w:sz w:val="24"/>
          <w:szCs w:val="24"/>
        </w:rPr>
        <w:t>且＜10万元</w:t>
      </w:r>
      <w:r>
        <w:rPr>
          <w:rFonts w:hint="eastAsia" w:hAnsi="宋体" w:eastAsia="宋体" w:cs="宋体"/>
          <w:sz w:val="24"/>
          <w:szCs w:val="24"/>
        </w:rPr>
        <w:t>得</w:t>
      </w:r>
      <w:r>
        <w:rPr>
          <w:rFonts w:hint="eastAsia" w:hAnsi="宋体" w:cs="宋体"/>
          <w:sz w:val="24"/>
          <w:szCs w:val="24"/>
        </w:rPr>
        <w:t>5</w:t>
      </w:r>
      <w:r>
        <w:rPr>
          <w:rFonts w:hint="eastAsia" w:hAnsi="宋体" w:eastAsia="宋体" w:cs="宋体"/>
          <w:sz w:val="24"/>
          <w:szCs w:val="24"/>
        </w:rPr>
        <w:t>分</w:t>
      </w:r>
      <w:r>
        <w:rPr>
          <w:rFonts w:hint="eastAsia" w:hAnsi="宋体" w:cs="宋体"/>
          <w:sz w:val="24"/>
          <w:szCs w:val="24"/>
        </w:rPr>
        <w:t>，</w:t>
      </w:r>
      <w:r>
        <w:rPr>
          <w:rFonts w:hint="eastAsia" w:hAnsi="宋体" w:eastAsia="宋体" w:cs="宋体"/>
          <w:sz w:val="24"/>
          <w:szCs w:val="24"/>
        </w:rPr>
        <w:t>无相关销售经验的得1分</w:t>
      </w:r>
      <w:r>
        <w:rPr>
          <w:rFonts w:hint="eastAsia" w:hAnsi="宋体" w:cs="宋体"/>
          <w:sz w:val="24"/>
          <w:szCs w:val="24"/>
        </w:rPr>
        <w:t>。</w:t>
      </w:r>
      <w:r>
        <w:rPr>
          <w:rFonts w:hint="eastAsia" w:hAnsi="宋体" w:eastAsia="宋体" w:cs="宋体"/>
          <w:color w:val="000000" w:themeColor="text1"/>
          <w:sz w:val="24"/>
          <w:szCs w:val="24"/>
          <w14:textFill>
            <w14:solidFill>
              <w14:schemeClr w14:val="tx1"/>
            </w14:solidFill>
          </w14:textFill>
        </w:rPr>
        <w:t>（</w:t>
      </w:r>
      <w:r>
        <w:rPr>
          <w:rFonts w:hint="eastAsia" w:hAnsi="宋体" w:cs="宋体"/>
          <w:sz w:val="24"/>
          <w:szCs w:val="24"/>
        </w:rPr>
        <w:t>以中标通知书或合同为准</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无</w:t>
      </w:r>
      <w:r>
        <w:rPr>
          <w:rFonts w:hint="eastAsia" w:hAnsi="宋体" w:cs="宋体"/>
          <w:color w:val="000000" w:themeColor="text1"/>
          <w:sz w:val="24"/>
          <w:szCs w:val="24"/>
          <w14:textFill>
            <w14:solidFill>
              <w14:schemeClr w14:val="tx1"/>
            </w14:solidFill>
          </w14:textFill>
        </w:rPr>
        <w:t>原件</w:t>
      </w:r>
      <w:r>
        <w:rPr>
          <w:rFonts w:hint="eastAsia" w:hAnsi="宋体" w:cs="宋体"/>
          <w:color w:val="000000" w:themeColor="text1"/>
          <w:sz w:val="24"/>
          <w:szCs w:val="24"/>
          <w:lang w:val="en-US" w:eastAsia="zh-CN"/>
          <w14:textFill>
            <w14:solidFill>
              <w14:schemeClr w14:val="tx1"/>
            </w14:solidFill>
          </w14:textFill>
        </w:rPr>
        <w:t>不得分</w:t>
      </w:r>
      <w:r>
        <w:rPr>
          <w:rFonts w:hint="eastAsia" w:hAnsi="宋体" w:eastAsia="宋体" w:cs="宋体"/>
          <w:bCs/>
          <w:color w:val="000000" w:themeColor="text1"/>
          <w:sz w:val="24"/>
          <w:szCs w:val="24"/>
          <w14:textFill>
            <w14:solidFill>
              <w14:schemeClr w14:val="tx1"/>
            </w14:solidFill>
          </w14:textFill>
        </w:rPr>
        <w:t>）</w:t>
      </w:r>
    </w:p>
    <w:p>
      <w:pPr>
        <w:pStyle w:val="8"/>
        <w:spacing w:line="440" w:lineRule="exact"/>
        <w:ind w:firstLine="480" w:firstLineChars="200"/>
        <w:rPr>
          <w:rFonts w:hAnsi="宋体" w:cs="宋体"/>
          <w:sz w:val="24"/>
          <w:szCs w:val="24"/>
        </w:rPr>
      </w:pPr>
      <w:r>
        <w:rPr>
          <w:rFonts w:hint="eastAsia" w:hAnsi="宋体" w:eastAsia="宋体" w:cs="宋体"/>
          <w:sz w:val="24"/>
          <w:szCs w:val="24"/>
        </w:rPr>
        <w:t>②</w:t>
      </w:r>
      <w:r>
        <w:rPr>
          <w:rFonts w:hAnsi="宋体" w:eastAsia="宋体" w:cs="宋体"/>
          <w:sz w:val="24"/>
          <w:szCs w:val="24"/>
        </w:rPr>
        <w:t>2020年以来投标人具有非三甲医院家具类销售业绩，中标总金额＞5万元且≤</w:t>
      </w:r>
      <w:r>
        <w:rPr>
          <w:rFonts w:hint="eastAsia" w:hAnsi="宋体" w:cs="宋体"/>
          <w:sz w:val="24"/>
          <w:szCs w:val="24"/>
        </w:rPr>
        <w:t>20</w:t>
      </w:r>
      <w:r>
        <w:rPr>
          <w:rFonts w:hAnsi="宋体" w:eastAsia="宋体" w:cs="宋体"/>
          <w:sz w:val="24"/>
          <w:szCs w:val="24"/>
        </w:rPr>
        <w:t>万元，每个项目得1分，满分3分；中标总金额＞</w:t>
      </w:r>
      <w:r>
        <w:rPr>
          <w:rFonts w:hint="eastAsia" w:hAnsi="宋体" w:cs="宋体"/>
          <w:sz w:val="24"/>
          <w:szCs w:val="24"/>
        </w:rPr>
        <w:t>20</w:t>
      </w:r>
      <w:r>
        <w:rPr>
          <w:rFonts w:hAnsi="宋体" w:eastAsia="宋体" w:cs="宋体"/>
          <w:sz w:val="24"/>
          <w:szCs w:val="24"/>
        </w:rPr>
        <w:t>万元,每个项目得1分,满分3分。（以中标通知书或合同为准，</w:t>
      </w:r>
      <w:r>
        <w:rPr>
          <w:rFonts w:hint="eastAsia" w:hAnsi="宋体" w:cs="宋体"/>
          <w:color w:val="000000" w:themeColor="text1"/>
          <w:sz w:val="24"/>
          <w:szCs w:val="24"/>
          <w:lang w:val="en-US" w:eastAsia="zh-CN"/>
          <w14:textFill>
            <w14:solidFill>
              <w14:schemeClr w14:val="tx1"/>
            </w14:solidFill>
          </w14:textFill>
        </w:rPr>
        <w:t>无</w:t>
      </w:r>
      <w:r>
        <w:rPr>
          <w:rFonts w:hint="eastAsia" w:hAnsi="宋体" w:cs="宋体"/>
          <w:color w:val="000000" w:themeColor="text1"/>
          <w:sz w:val="24"/>
          <w:szCs w:val="24"/>
          <w14:textFill>
            <w14:solidFill>
              <w14:schemeClr w14:val="tx1"/>
            </w14:solidFill>
          </w14:textFill>
        </w:rPr>
        <w:t>原件</w:t>
      </w:r>
      <w:r>
        <w:rPr>
          <w:rFonts w:hint="eastAsia" w:hAnsi="宋体" w:cs="宋体"/>
          <w:color w:val="000000" w:themeColor="text1"/>
          <w:sz w:val="24"/>
          <w:szCs w:val="24"/>
          <w:lang w:val="en-US" w:eastAsia="zh-CN"/>
          <w14:textFill>
            <w14:solidFill>
              <w14:schemeClr w14:val="tx1"/>
            </w14:solidFill>
          </w14:textFill>
        </w:rPr>
        <w:t>不得分</w:t>
      </w:r>
      <w:r>
        <w:rPr>
          <w:rFonts w:hAnsi="宋体" w:eastAsia="宋体" w:cs="宋体"/>
          <w:sz w:val="24"/>
          <w:szCs w:val="24"/>
        </w:rPr>
        <w:t>） </w:t>
      </w:r>
    </w:p>
    <w:p>
      <w:pPr>
        <w:spacing w:line="440" w:lineRule="exact"/>
        <w:ind w:firstLine="482" w:firstLineChars="200"/>
        <w:rPr>
          <w:rFonts w:ascii="宋体" w:hAnsi="宋体" w:cs="宋体"/>
          <w:b/>
          <w:sz w:val="24"/>
        </w:rPr>
      </w:pPr>
      <w:r>
        <w:rPr>
          <w:rFonts w:hint="eastAsia" w:ascii="宋体" w:hAnsi="宋体" w:eastAsia="宋体" w:cs="宋体"/>
          <w:b/>
          <w:sz w:val="24"/>
        </w:rPr>
        <w:t>4.售后服务分…………………………………………………………………………</w:t>
      </w:r>
      <w:r>
        <w:rPr>
          <w:rFonts w:hint="eastAsia" w:ascii="宋体" w:hAnsi="宋体" w:cs="宋体"/>
          <w:b/>
          <w:sz w:val="24"/>
        </w:rPr>
        <w:t>17</w:t>
      </w:r>
      <w:r>
        <w:rPr>
          <w:rFonts w:hint="eastAsia" w:ascii="宋体" w:hAnsi="宋体" w:eastAsia="宋体" w:cs="宋体"/>
          <w:b/>
          <w:sz w:val="24"/>
        </w:rPr>
        <w:t>分</w:t>
      </w:r>
    </w:p>
    <w:p>
      <w:pPr>
        <w:pStyle w:val="8"/>
        <w:spacing w:line="440" w:lineRule="exact"/>
        <w:ind w:firstLine="480" w:firstLineChars="200"/>
        <w:rPr>
          <w:rFonts w:hAnsi="宋体" w:cs="宋体"/>
          <w:sz w:val="24"/>
          <w:szCs w:val="24"/>
        </w:rPr>
      </w:pPr>
      <w:r>
        <w:rPr>
          <w:rFonts w:hint="eastAsia" w:hAnsi="宋体" w:eastAsia="宋体" w:cs="宋体"/>
          <w:sz w:val="24"/>
          <w:szCs w:val="24"/>
        </w:rPr>
        <w:t>（1）由评委根据各投标人提供的“售后服务承诺书”中技术培训方案、出现故障解决方案、本地售后服务保障、免费保修期外维修方案（含零配件供应方案）、其他增值售后服务或其它实质性优惠措施内容：①针对性（1～</w:t>
      </w:r>
      <w:r>
        <w:rPr>
          <w:rFonts w:hint="eastAsia" w:hAnsi="宋体" w:cs="宋体"/>
          <w:sz w:val="24"/>
          <w:szCs w:val="24"/>
        </w:rPr>
        <w:t>6</w:t>
      </w:r>
      <w:r>
        <w:rPr>
          <w:rFonts w:hint="eastAsia" w:hAnsi="宋体" w:eastAsia="宋体" w:cs="宋体"/>
          <w:sz w:val="24"/>
          <w:szCs w:val="24"/>
        </w:rPr>
        <w:t>分）；②可行性（1～</w:t>
      </w:r>
      <w:r>
        <w:rPr>
          <w:rFonts w:hint="eastAsia" w:hAnsi="宋体" w:cs="宋体"/>
          <w:sz w:val="24"/>
          <w:szCs w:val="24"/>
        </w:rPr>
        <w:t>6</w:t>
      </w:r>
      <w:r>
        <w:rPr>
          <w:rFonts w:hint="eastAsia" w:hAnsi="宋体" w:eastAsia="宋体" w:cs="宋体"/>
          <w:sz w:val="24"/>
          <w:szCs w:val="24"/>
        </w:rPr>
        <w:t>分）等方面进行横向比较。</w:t>
      </w:r>
    </w:p>
    <w:p>
      <w:pPr>
        <w:pStyle w:val="8"/>
        <w:spacing w:line="440" w:lineRule="exact"/>
        <w:ind w:firstLine="480" w:firstLineChars="200"/>
        <w:rPr>
          <w:rFonts w:hAnsi="宋体" w:cs="宋体"/>
          <w:sz w:val="24"/>
          <w:szCs w:val="24"/>
        </w:rPr>
      </w:pPr>
      <w:r>
        <w:rPr>
          <w:rFonts w:hint="eastAsia" w:hAnsi="宋体" w:eastAsia="宋体" w:cs="宋体"/>
          <w:sz w:val="24"/>
          <w:szCs w:val="24"/>
        </w:rPr>
        <w:t>（2）承诺更长</w:t>
      </w:r>
      <w:r>
        <w:rPr>
          <w:rFonts w:hint="eastAsia" w:hAnsi="宋体" w:cs="宋体"/>
          <w:sz w:val="24"/>
          <w:szCs w:val="24"/>
        </w:rPr>
        <w:t>保</w:t>
      </w:r>
      <w:r>
        <w:rPr>
          <w:rFonts w:hint="eastAsia" w:hAnsi="宋体" w:eastAsia="宋体" w:cs="宋体"/>
          <w:sz w:val="24"/>
          <w:szCs w:val="24"/>
        </w:rPr>
        <w:t>修期（满</w:t>
      </w:r>
      <w:r>
        <w:rPr>
          <w:rFonts w:hint="eastAsia" w:hAnsi="宋体" w:cs="宋体"/>
          <w:sz w:val="24"/>
          <w:szCs w:val="24"/>
        </w:rPr>
        <w:t>5</w:t>
      </w:r>
      <w:r>
        <w:rPr>
          <w:rFonts w:hint="eastAsia" w:hAnsi="宋体" w:eastAsia="宋体" w:cs="宋体"/>
          <w:sz w:val="24"/>
          <w:szCs w:val="24"/>
        </w:rPr>
        <w:t>分）</w:t>
      </w:r>
    </w:p>
    <w:p>
      <w:pPr>
        <w:pStyle w:val="8"/>
        <w:spacing w:line="440" w:lineRule="exact"/>
        <w:ind w:firstLine="480" w:firstLineChars="200"/>
        <w:rPr>
          <w:rFonts w:hAnsi="宋体" w:cs="宋体"/>
          <w:sz w:val="24"/>
          <w:szCs w:val="24"/>
        </w:rPr>
      </w:pPr>
      <w:r>
        <w:rPr>
          <w:rFonts w:hint="eastAsia" w:hAnsi="宋体" w:cs="宋体"/>
          <w:sz w:val="24"/>
          <w:szCs w:val="24"/>
        </w:rPr>
        <w:t>承诺三年</w:t>
      </w:r>
      <w:r>
        <w:rPr>
          <w:rFonts w:hint="eastAsia" w:hAnsi="宋体" w:eastAsia="宋体" w:cs="宋体"/>
          <w:sz w:val="24"/>
          <w:szCs w:val="24"/>
        </w:rPr>
        <w:t>免费保修期的</w:t>
      </w:r>
      <w:r>
        <w:rPr>
          <w:rFonts w:hint="eastAsia" w:hAnsi="宋体" w:cs="宋体"/>
          <w:sz w:val="24"/>
          <w:szCs w:val="24"/>
        </w:rPr>
        <w:t>得2分，</w:t>
      </w:r>
      <w:r>
        <w:rPr>
          <w:rFonts w:hint="eastAsia" w:hAnsi="宋体" w:eastAsia="宋体" w:cs="宋体"/>
          <w:sz w:val="24"/>
          <w:szCs w:val="24"/>
        </w:rPr>
        <w:t>能够额外延长保修时间的</w:t>
      </w:r>
      <w:r>
        <w:rPr>
          <w:rFonts w:hint="eastAsia" w:hAnsi="宋体" w:cs="宋体"/>
          <w:sz w:val="24"/>
          <w:szCs w:val="24"/>
        </w:rPr>
        <w:t>每增加一年加1分</w:t>
      </w:r>
      <w:r>
        <w:rPr>
          <w:rFonts w:hint="eastAsia" w:hAnsi="宋体" w:eastAsia="宋体" w:cs="宋体"/>
          <w:sz w:val="24"/>
          <w:szCs w:val="24"/>
        </w:rPr>
        <w:t>（1～</w:t>
      </w:r>
      <w:r>
        <w:rPr>
          <w:rFonts w:hint="eastAsia" w:hAnsi="宋体" w:cs="宋体"/>
          <w:sz w:val="24"/>
          <w:szCs w:val="24"/>
        </w:rPr>
        <w:t>3</w:t>
      </w:r>
      <w:r>
        <w:rPr>
          <w:rFonts w:hint="eastAsia" w:hAnsi="宋体" w:eastAsia="宋体" w:cs="宋体"/>
          <w:sz w:val="24"/>
          <w:szCs w:val="24"/>
        </w:rPr>
        <w:t>分）</w:t>
      </w:r>
      <w:r>
        <w:rPr>
          <w:rFonts w:hint="eastAsia" w:hAnsi="宋体" w:cs="宋体"/>
          <w:sz w:val="24"/>
          <w:szCs w:val="24"/>
        </w:rPr>
        <w:t>，满分5分。</w:t>
      </w:r>
    </w:p>
    <w:p>
      <w:pPr>
        <w:spacing w:line="440" w:lineRule="exact"/>
        <w:ind w:firstLine="482" w:firstLineChars="200"/>
        <w:rPr>
          <w:rFonts w:ascii="宋体" w:hAnsi="宋体" w:cs="宋体"/>
          <w:sz w:val="24"/>
        </w:rPr>
      </w:pPr>
      <w:r>
        <w:rPr>
          <w:rFonts w:hint="eastAsia" w:ascii="宋体" w:hAnsi="宋体" w:eastAsia="宋体" w:cs="宋体"/>
          <w:b/>
          <w:kern w:val="0"/>
          <w:sz w:val="24"/>
        </w:rPr>
        <w:t>5.=1+2+3+4</w:t>
      </w:r>
    </w:p>
    <w:p>
      <w:pPr>
        <w:pStyle w:val="8"/>
        <w:spacing w:line="440" w:lineRule="exact"/>
        <w:ind w:firstLine="614" w:firstLineChars="255"/>
        <w:rPr>
          <w:rFonts w:hAnsi="宋体" w:cs="宋体"/>
          <w:b/>
          <w:sz w:val="24"/>
          <w:szCs w:val="24"/>
        </w:rPr>
      </w:pPr>
      <w:r>
        <w:rPr>
          <w:rFonts w:hint="eastAsia" w:hAnsi="宋体" w:eastAsia="宋体" w:cs="宋体"/>
          <w:b/>
          <w:sz w:val="24"/>
          <w:szCs w:val="24"/>
        </w:rPr>
        <w:t>三、推荐及确定中标候选人原则</w:t>
      </w:r>
    </w:p>
    <w:p>
      <w:pPr>
        <w:pStyle w:val="8"/>
        <w:spacing w:line="440" w:lineRule="exact"/>
        <w:ind w:firstLine="502" w:firstLineChars="213"/>
        <w:rPr>
          <w:rFonts w:hAnsi="宋体" w:cs="宋体"/>
          <w:spacing w:val="-2"/>
          <w:sz w:val="24"/>
          <w:szCs w:val="24"/>
        </w:rPr>
      </w:pPr>
      <w:r>
        <w:rPr>
          <w:rFonts w:hint="eastAsia" w:hAnsi="宋体" w:eastAsia="宋体" w:cs="宋体"/>
          <w:spacing w:val="-2"/>
          <w:sz w:val="24"/>
          <w:szCs w:val="24"/>
        </w:rPr>
        <w:t>（1）</w:t>
      </w:r>
      <w:r>
        <w:rPr>
          <w:rFonts w:hint="eastAsia" w:hAnsi="宋体" w:cs="宋体"/>
          <w:spacing w:val="-2"/>
          <w:sz w:val="24"/>
          <w:szCs w:val="24"/>
        </w:rPr>
        <w:t>询价小组</w:t>
      </w:r>
      <w:r>
        <w:rPr>
          <w:rFonts w:hint="eastAsia" w:hAnsi="宋体" w:eastAsia="宋体" w:cs="宋体"/>
          <w:spacing w:val="-2"/>
          <w:sz w:val="24"/>
          <w:szCs w:val="24"/>
        </w:rPr>
        <w:t>根据综合得分由高到低排列次序，若得分相同时，按投标报价由低到高顺序排列；若得分相同且投标报价相同的并列</w:t>
      </w:r>
      <w:r>
        <w:rPr>
          <w:rFonts w:hint="eastAsia" w:hAnsi="宋体" w:cs="宋体"/>
          <w:spacing w:val="-2"/>
          <w:sz w:val="24"/>
          <w:szCs w:val="24"/>
        </w:rPr>
        <w:t>，</w:t>
      </w:r>
      <w:r>
        <w:rPr>
          <w:rFonts w:hint="eastAsia" w:hAnsi="宋体" w:eastAsia="宋体" w:cs="宋体"/>
          <w:spacing w:val="-2"/>
          <w:sz w:val="24"/>
          <w:szCs w:val="24"/>
        </w:rPr>
        <w:t>投标文件满足询价文件全部实质性要求，且按照</w:t>
      </w:r>
      <w:r>
        <w:rPr>
          <w:rFonts w:hint="eastAsia" w:hAnsi="宋体" w:eastAsia="宋体" w:cs="宋体"/>
          <w:bCs/>
          <w:color w:val="000000" w:themeColor="text1"/>
          <w:sz w:val="24"/>
          <w:szCs w:val="24"/>
          <w14:textFill>
            <w14:solidFill>
              <w14:schemeClr w14:val="tx1"/>
            </w14:solidFill>
          </w14:textFill>
        </w:rPr>
        <w:t>履约能力保障分</w:t>
      </w:r>
      <w:r>
        <w:rPr>
          <w:rFonts w:hint="eastAsia" w:hAnsi="宋体" w:eastAsia="宋体" w:cs="宋体"/>
          <w:spacing w:val="-2"/>
          <w:sz w:val="24"/>
          <w:szCs w:val="24"/>
        </w:rPr>
        <w:t>评审因素的量化指标评审得分最高的投标人为排名第一的中标候选人。</w:t>
      </w:r>
    </w:p>
    <w:p>
      <w:pPr>
        <w:pStyle w:val="8"/>
        <w:tabs>
          <w:tab w:val="left" w:pos="4214"/>
        </w:tabs>
        <w:spacing w:line="440" w:lineRule="exact"/>
        <w:ind w:firstLine="480" w:firstLineChars="200"/>
        <w:rPr>
          <w:rFonts w:hAnsi="宋体" w:cs="宋体"/>
          <w:sz w:val="24"/>
          <w:szCs w:val="24"/>
        </w:rPr>
      </w:pPr>
      <w:r>
        <w:rPr>
          <w:rFonts w:hint="eastAsia" w:hAnsi="宋体" w:eastAsia="宋体" w:cs="宋体"/>
          <w:sz w:val="24"/>
          <w:szCs w:val="24"/>
        </w:rPr>
        <w:t>（2）采购人应当确定询价小组推荐排名第一的中标候选商为中标</w:t>
      </w:r>
      <w:r>
        <w:rPr>
          <w:rFonts w:hint="eastAsia" w:hAnsi="宋体" w:eastAsia="宋体" w:cs="宋体"/>
          <w:sz w:val="24"/>
          <w:szCs w:val="24"/>
          <w:lang w:val="en-US" w:eastAsia="zh-CN"/>
        </w:rPr>
        <w:t>商</w:t>
      </w:r>
      <w:r>
        <w:rPr>
          <w:rFonts w:hint="eastAsia" w:hAnsi="宋体" w:eastAsia="宋体" w:cs="宋体"/>
          <w:sz w:val="24"/>
          <w:szCs w:val="24"/>
        </w:rPr>
        <w:t>。</w:t>
      </w:r>
    </w:p>
    <w:p>
      <w:pPr>
        <w:pStyle w:val="8"/>
        <w:spacing w:line="440" w:lineRule="exact"/>
        <w:ind w:firstLine="480" w:firstLineChars="200"/>
        <w:rPr>
          <w:rFonts w:hAnsi="宋体" w:cs="宋体"/>
          <w:sz w:val="24"/>
          <w:szCs w:val="24"/>
        </w:rPr>
      </w:pPr>
      <w:r>
        <w:rPr>
          <w:rFonts w:hint="eastAsia" w:hAnsi="宋体" w:cs="宋体"/>
          <w:sz w:val="24"/>
          <w:szCs w:val="24"/>
        </w:rPr>
        <w:t>（3）</w:t>
      </w:r>
      <w:r>
        <w:rPr>
          <w:rFonts w:hint="eastAsia" w:hAnsi="宋体" w:eastAsia="宋体" w:cs="宋体"/>
          <w:sz w:val="24"/>
          <w:szCs w:val="24"/>
        </w:rPr>
        <w:t>如中标人有下列情形之一的，招标人可从询价小组推荐的中标候选人中按顺序重新确定中标人或重新组织招标。</w:t>
      </w:r>
    </w:p>
    <w:p>
      <w:pPr>
        <w:pStyle w:val="8"/>
        <w:spacing w:line="440" w:lineRule="exact"/>
        <w:ind w:firstLine="480" w:firstLineChars="200"/>
        <w:rPr>
          <w:rFonts w:hAnsi="宋体" w:cs="宋体"/>
          <w:sz w:val="24"/>
          <w:szCs w:val="24"/>
        </w:rPr>
      </w:pPr>
      <w:r>
        <w:rPr>
          <w:rFonts w:hint="eastAsia" w:hAnsi="宋体" w:cs="宋体"/>
          <w:sz w:val="24"/>
          <w:szCs w:val="24"/>
        </w:rPr>
        <w:t>①</w:t>
      </w:r>
      <w:r>
        <w:rPr>
          <w:rFonts w:hint="eastAsia" w:hAnsi="宋体" w:eastAsia="宋体" w:cs="宋体"/>
          <w:sz w:val="24"/>
          <w:szCs w:val="24"/>
        </w:rPr>
        <w:t>中标后未按规定办理中标通知书领取手续的或中标后不与招标人签订合同的（不可抗力除外）；</w:t>
      </w:r>
    </w:p>
    <w:p>
      <w:pPr>
        <w:pStyle w:val="8"/>
        <w:spacing w:line="440" w:lineRule="exact"/>
        <w:ind w:firstLine="480" w:firstLineChars="200"/>
        <w:rPr>
          <w:rFonts w:hAnsi="宋体" w:cs="宋体"/>
          <w:sz w:val="24"/>
          <w:szCs w:val="24"/>
        </w:rPr>
      </w:pPr>
      <w:r>
        <w:rPr>
          <w:rFonts w:hint="eastAsia" w:hAnsi="宋体" w:cs="宋体"/>
          <w:sz w:val="24"/>
          <w:szCs w:val="24"/>
        </w:rPr>
        <w:t>②</w:t>
      </w:r>
      <w:r>
        <w:rPr>
          <w:rFonts w:hint="eastAsia" w:hAnsi="宋体" w:eastAsia="宋体" w:cs="宋体"/>
          <w:sz w:val="24"/>
          <w:szCs w:val="24"/>
        </w:rPr>
        <w:t>将中标项目转让给他人，或者在投标文件中未说明，且未经招标人同意，将中标项目分包给他人的；</w:t>
      </w:r>
    </w:p>
    <w:p>
      <w:pPr>
        <w:pStyle w:val="8"/>
        <w:spacing w:line="440" w:lineRule="exact"/>
        <w:ind w:firstLine="480" w:firstLineChars="200"/>
        <w:rPr>
          <w:rFonts w:ascii="宋体" w:hAnsi="宋体" w:cs="宋体"/>
          <w:sz w:val="24"/>
        </w:rPr>
      </w:pPr>
      <w:r>
        <w:rPr>
          <w:rFonts w:hint="eastAsia" w:hAnsi="宋体" w:cs="宋体"/>
          <w:sz w:val="24"/>
          <w:szCs w:val="24"/>
        </w:rPr>
        <w:t>③</w:t>
      </w:r>
      <w:r>
        <w:rPr>
          <w:rFonts w:hint="eastAsia" w:hAnsi="宋体" w:eastAsia="宋体" w:cs="宋体"/>
          <w:sz w:val="24"/>
          <w:szCs w:val="24"/>
        </w:rPr>
        <w:t>拒绝履行合同义务的。</w:t>
      </w:r>
    </w:p>
    <w:p>
      <w:pPr>
        <w:pStyle w:val="2"/>
        <w:ind w:firstLine="420"/>
        <w:rPr>
          <w:lang w:val="en-US"/>
        </w:rPr>
      </w:pPr>
    </w:p>
    <w:sectPr>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-994410</wp:posOffset>
              </wp:positionH>
              <wp:positionV relativeFrom="paragraph">
                <wp:posOffset>101600</wp:posOffset>
              </wp:positionV>
              <wp:extent cx="8430895" cy="379095"/>
              <wp:effectExtent l="0" t="0" r="0" b="0"/>
              <wp:wrapNone/>
              <wp:docPr id="28" name="文本框 27"/>
              <wp:cNvGraphicFramePr/>
              <a:graphic xmlns:a="http://schemas.openxmlformats.org/drawingml/2006/main">
                <a:graphicData uri="http://schemas.microsoft.com/office/word/2010/wordprocessingShape">
                  <wps:wsp>
                    <wps:cNvSpPr txBox="1"/>
                    <wps:spPr>
                      <a:xfrm>
                        <a:off x="-537210" y="6892290"/>
                        <a:ext cx="8430895" cy="379095"/>
                      </a:xfrm>
                      <a:prstGeom prst="rect">
                        <a:avLst/>
                      </a:prstGeom>
                      <a:noFill/>
                    </wps:spPr>
                    <wps:txbx>
                      <w:txbxContent>
                        <w:p>
                          <w:pPr>
                            <w:pStyle w:val="12"/>
                            <w:jc w:val="left"/>
                          </w:pPr>
                          <w:r>
                            <w:rPr>
                              <w:rFonts w:hAnsiTheme="minorBidi"/>
                              <w:color w:val="000000" w:themeColor="text1"/>
                              <w:kern w:val="24"/>
                              <w:sz w:val="18"/>
                              <w:szCs w:val="18"/>
                              <w14:textFill>
                                <w14:solidFill>
                                  <w14:schemeClr w14:val="tx1"/>
                                </w14:solidFill>
                              </w14:textFill>
                            </w:rPr>
                            <w:t>努</w:t>
                          </w:r>
                        </w:p>
                      </w:txbxContent>
                    </wps:txbx>
                    <wps:bodyPr vert="horz" wrap="square" rtlCol="0">
                      <a:spAutoFit/>
                    </wps:bodyPr>
                  </wps:wsp>
                </a:graphicData>
              </a:graphic>
            </wp:anchor>
          </w:drawing>
        </mc:Choice>
        <mc:Fallback>
          <w:pict>
            <v:shape id="文本框 27" o:spid="_x0000_s1026" o:spt="202" type="#_x0000_t202" style="position:absolute;left:0pt;margin-left:-78.3pt;margin-top:8pt;height:29.85pt;width:663.85pt;z-index:251659264;mso-width-relative:page;mso-height-relative:page;" filled="f" stroked="f" coordsize="21600,21600" o:gfxdata="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9jOB1wAAAAsBAAAPAAAAAAAAAAEAIAAAACIA&#10;AABkcnMvZG93bnJldi54bWxQSwECFAAUAAAACACHTuJA0ctv+9EBAAB3AwAADgAAAAAAAAABACAA&#10;AAAmAQAAZHJzL2Uyb0RvYy54bWxQSwUGAAAAAAYABgBZAQAAaQUAAAAA&#10;">
              <v:fill on="f" focussize="0,0"/>
              <v:stroke on="f"/>
              <v:imagedata o:title=""/>
              <o:lock v:ext="edit" aspectratio="f"/>
              <v:textbox style="mso-fit-shape-to-text:t;">
                <w:txbxContent>
                  <w:p>
                    <w:pPr>
                      <w:pStyle w:val="12"/>
                      <w:jc w:val="left"/>
                    </w:pPr>
                    <w:r>
                      <w:rPr>
                        <w:rFonts w:hAnsiTheme="minorBidi"/>
                        <w:color w:val="000000" w:themeColor="text1"/>
                        <w:kern w:val="24"/>
                        <w:sz w:val="18"/>
                        <w:szCs w:val="18"/>
                        <w14:textFill>
                          <w14:solidFill>
                            <w14:schemeClr w14:val="tx1"/>
                          </w14:solidFill>
                        </w14:textFill>
                      </w:rPr>
                      <w:t>努</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13E2B"/>
    <w:multiLevelType w:val="singleLevel"/>
    <w:tmpl w:val="9EF13E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NmNlNzJkNjMzOTI3ZTE0ODEwMTE4ZWE1NzljZGYifQ=="/>
  </w:docVars>
  <w:rsids>
    <w:rsidRoot w:val="00622DBF"/>
    <w:rsid w:val="001768DA"/>
    <w:rsid w:val="001E591F"/>
    <w:rsid w:val="005B0737"/>
    <w:rsid w:val="00622DBF"/>
    <w:rsid w:val="0067285C"/>
    <w:rsid w:val="0080345C"/>
    <w:rsid w:val="008818D6"/>
    <w:rsid w:val="00AA6B2D"/>
    <w:rsid w:val="00BE3FE5"/>
    <w:rsid w:val="00D26EBE"/>
    <w:rsid w:val="00F33690"/>
    <w:rsid w:val="03B32BC3"/>
    <w:rsid w:val="05627F10"/>
    <w:rsid w:val="05D71AC7"/>
    <w:rsid w:val="063127B9"/>
    <w:rsid w:val="068C0000"/>
    <w:rsid w:val="06BC2854"/>
    <w:rsid w:val="071E213B"/>
    <w:rsid w:val="099105B3"/>
    <w:rsid w:val="0B320D94"/>
    <w:rsid w:val="0C760B97"/>
    <w:rsid w:val="0E173D40"/>
    <w:rsid w:val="11B232FE"/>
    <w:rsid w:val="121E2752"/>
    <w:rsid w:val="12236D5C"/>
    <w:rsid w:val="132A00C9"/>
    <w:rsid w:val="150D619F"/>
    <w:rsid w:val="15246C14"/>
    <w:rsid w:val="15B10CA8"/>
    <w:rsid w:val="17FF6273"/>
    <w:rsid w:val="18550589"/>
    <w:rsid w:val="19460356"/>
    <w:rsid w:val="1A13035A"/>
    <w:rsid w:val="1A421DB2"/>
    <w:rsid w:val="1AD23898"/>
    <w:rsid w:val="1B686416"/>
    <w:rsid w:val="1D8A2A83"/>
    <w:rsid w:val="1DE972FF"/>
    <w:rsid w:val="1EEA0711"/>
    <w:rsid w:val="216D4A04"/>
    <w:rsid w:val="22E91835"/>
    <w:rsid w:val="250D0E48"/>
    <w:rsid w:val="277814B7"/>
    <w:rsid w:val="27F82CDF"/>
    <w:rsid w:val="28603113"/>
    <w:rsid w:val="2A151C71"/>
    <w:rsid w:val="2AAF53E9"/>
    <w:rsid w:val="2B053749"/>
    <w:rsid w:val="2B6C384F"/>
    <w:rsid w:val="2C8B5ED0"/>
    <w:rsid w:val="2CB93145"/>
    <w:rsid w:val="2D206871"/>
    <w:rsid w:val="2D900742"/>
    <w:rsid w:val="2D9B072D"/>
    <w:rsid w:val="2DF04EFF"/>
    <w:rsid w:val="2EB02BEA"/>
    <w:rsid w:val="2EB966C3"/>
    <w:rsid w:val="2FFF43BA"/>
    <w:rsid w:val="30C72BA8"/>
    <w:rsid w:val="31672015"/>
    <w:rsid w:val="31B91150"/>
    <w:rsid w:val="32444DB4"/>
    <w:rsid w:val="333252F7"/>
    <w:rsid w:val="34024C7C"/>
    <w:rsid w:val="366C3C9E"/>
    <w:rsid w:val="370352C5"/>
    <w:rsid w:val="37E8067A"/>
    <w:rsid w:val="38056EDD"/>
    <w:rsid w:val="39643D30"/>
    <w:rsid w:val="39737220"/>
    <w:rsid w:val="3B64626A"/>
    <w:rsid w:val="3D93136E"/>
    <w:rsid w:val="3DBF0B75"/>
    <w:rsid w:val="3E3E3568"/>
    <w:rsid w:val="3EFB45AC"/>
    <w:rsid w:val="440A7A51"/>
    <w:rsid w:val="47BF1103"/>
    <w:rsid w:val="480A0199"/>
    <w:rsid w:val="49763D37"/>
    <w:rsid w:val="49D83A04"/>
    <w:rsid w:val="4A31510E"/>
    <w:rsid w:val="4A9B76D8"/>
    <w:rsid w:val="4AC71CFF"/>
    <w:rsid w:val="4B49791C"/>
    <w:rsid w:val="4B7F6C0A"/>
    <w:rsid w:val="4C2018BC"/>
    <w:rsid w:val="4CD465AB"/>
    <w:rsid w:val="4E17716C"/>
    <w:rsid w:val="4F9A56FB"/>
    <w:rsid w:val="5242543E"/>
    <w:rsid w:val="53E276E4"/>
    <w:rsid w:val="548F16C5"/>
    <w:rsid w:val="54B40747"/>
    <w:rsid w:val="55576041"/>
    <w:rsid w:val="574A0E85"/>
    <w:rsid w:val="579C7BFF"/>
    <w:rsid w:val="581D20BA"/>
    <w:rsid w:val="58396180"/>
    <w:rsid w:val="58C20339"/>
    <w:rsid w:val="5A3459A5"/>
    <w:rsid w:val="5A680B7A"/>
    <w:rsid w:val="5AAD71E9"/>
    <w:rsid w:val="5D0C08CB"/>
    <w:rsid w:val="5D263E01"/>
    <w:rsid w:val="5D2F1BE8"/>
    <w:rsid w:val="5E3D0787"/>
    <w:rsid w:val="61427337"/>
    <w:rsid w:val="63337393"/>
    <w:rsid w:val="651E022C"/>
    <w:rsid w:val="65AF62ED"/>
    <w:rsid w:val="682E0E0B"/>
    <w:rsid w:val="69B45116"/>
    <w:rsid w:val="6AD45ACF"/>
    <w:rsid w:val="6B203449"/>
    <w:rsid w:val="6BBD0FAB"/>
    <w:rsid w:val="6BFC613F"/>
    <w:rsid w:val="6D5D5B51"/>
    <w:rsid w:val="6E274D51"/>
    <w:rsid w:val="6E315E98"/>
    <w:rsid w:val="6FDC220F"/>
    <w:rsid w:val="70980188"/>
    <w:rsid w:val="71337F68"/>
    <w:rsid w:val="72781A13"/>
    <w:rsid w:val="732E604C"/>
    <w:rsid w:val="737038AD"/>
    <w:rsid w:val="73A609C6"/>
    <w:rsid w:val="75A65E9A"/>
    <w:rsid w:val="7A105168"/>
    <w:rsid w:val="7A170370"/>
    <w:rsid w:val="7BA533B0"/>
    <w:rsid w:val="7D075950"/>
    <w:rsid w:val="7D292894"/>
    <w:rsid w:val="7DF24F98"/>
    <w:rsid w:val="7EDE241F"/>
    <w:rsid w:val="7F4A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after="260"/>
      <w:outlineLvl w:val="1"/>
    </w:pPr>
    <w:rPr>
      <w:rFonts w:ascii="Arial" w:hAnsi="Arial" w:eastAsia="宋体" w:cs="Times New Roman"/>
      <w:b/>
      <w:bCs/>
      <w:color w:val="000000"/>
      <w:sz w:val="28"/>
      <w:szCs w:val="32"/>
      <w:lang w:eastAsia="en-US" w:bidi="en-US"/>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400" w:lineRule="exact"/>
      <w:ind w:firstLine="480" w:firstLineChars="200"/>
      <w:jc w:val="left"/>
    </w:pPr>
    <w:rPr>
      <w:lang w:val="zh-CN"/>
    </w:rPr>
  </w:style>
  <w:style w:type="paragraph" w:styleId="5">
    <w:name w:val="index 8"/>
    <w:basedOn w:val="1"/>
    <w:next w:val="1"/>
    <w:qFormat/>
    <w:uiPriority w:val="0"/>
    <w:pPr>
      <w:spacing w:line="400" w:lineRule="exact"/>
      <w:ind w:left="2940" w:firstLine="1044" w:firstLineChars="200"/>
      <w:jc w:val="left"/>
    </w:pPr>
  </w:style>
  <w:style w:type="paragraph" w:styleId="6">
    <w:name w:val="annotation text"/>
    <w:basedOn w:val="1"/>
    <w:qFormat/>
    <w:uiPriority w:val="0"/>
    <w:pPr>
      <w:adjustRightInd w:val="0"/>
      <w:spacing w:line="360" w:lineRule="atLeast"/>
      <w:jc w:val="left"/>
      <w:textAlignment w:val="baseline"/>
    </w:pPr>
    <w:rPr>
      <w:kern w:val="0"/>
      <w:sz w:val="24"/>
      <w:szCs w:val="20"/>
    </w:rPr>
  </w:style>
  <w:style w:type="paragraph" w:styleId="7">
    <w:name w:val="Body Text"/>
    <w:basedOn w:val="1"/>
    <w:link w:val="22"/>
    <w:unhideWhenUsed/>
    <w:qFormat/>
    <w:uiPriority w:val="99"/>
    <w:pPr>
      <w:spacing w:after="120"/>
    </w:pPr>
    <w:rPr>
      <w:rFonts w:ascii="Times New Roman" w:hAnsi="Times New Roman" w:eastAsia="宋体" w:cs="Times New Roman"/>
    </w:rPr>
  </w:style>
  <w:style w:type="paragraph" w:styleId="8">
    <w:name w:val="Plain Text"/>
    <w:basedOn w:val="1"/>
    <w:next w:val="5"/>
    <w:link w:val="23"/>
    <w:qFormat/>
    <w:uiPriority w:val="0"/>
    <w:rPr>
      <w:rFonts w:ascii="宋体" w:hAnsi="Courier New"/>
      <w:szCs w:val="20"/>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rPr>
      <w:sz w:val="24"/>
    </w:rPr>
  </w:style>
  <w:style w:type="paragraph" w:styleId="1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71"/>
    <w:basedOn w:val="16"/>
    <w:qFormat/>
    <w:uiPriority w:val="0"/>
    <w:rPr>
      <w:rFonts w:hint="eastAsia" w:ascii="宋体" w:hAnsi="宋体" w:eastAsia="宋体" w:cs="宋体"/>
      <w:b/>
      <w:bCs/>
      <w:color w:val="000000"/>
      <w:sz w:val="21"/>
      <w:szCs w:val="21"/>
      <w:u w:val="none"/>
    </w:rPr>
  </w:style>
  <w:style w:type="character" w:customStyle="1" w:styleId="18">
    <w:name w:val="font101"/>
    <w:basedOn w:val="16"/>
    <w:qFormat/>
    <w:uiPriority w:val="0"/>
    <w:rPr>
      <w:rFonts w:hint="eastAsia" w:ascii="宋体" w:hAnsi="宋体" w:eastAsia="宋体" w:cs="宋体"/>
      <w:b/>
      <w:bCs/>
      <w:color w:val="00B050"/>
      <w:sz w:val="21"/>
      <w:szCs w:val="21"/>
      <w:u w:val="none"/>
    </w:rPr>
  </w:style>
  <w:style w:type="character" w:customStyle="1" w:styleId="19">
    <w:name w:val="font11"/>
    <w:basedOn w:val="16"/>
    <w:qFormat/>
    <w:uiPriority w:val="0"/>
    <w:rPr>
      <w:rFonts w:hint="eastAsia" w:ascii="宋体" w:hAnsi="宋体" w:eastAsia="宋体" w:cs="宋体"/>
      <w:color w:val="000000"/>
      <w:sz w:val="21"/>
      <w:szCs w:val="21"/>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2">
    <w:name w:val="正文文本 Char"/>
    <w:basedOn w:val="16"/>
    <w:link w:val="7"/>
    <w:qFormat/>
    <w:uiPriority w:val="99"/>
    <w:rPr>
      <w:kern w:val="2"/>
      <w:sz w:val="21"/>
      <w:szCs w:val="24"/>
    </w:rPr>
  </w:style>
  <w:style w:type="character" w:customStyle="1" w:styleId="23">
    <w:name w:val="纯文本 Char"/>
    <w:basedOn w:val="16"/>
    <w:link w:val="8"/>
    <w:qFormat/>
    <w:uiPriority w:val="0"/>
    <w:rPr>
      <w:rFonts w:ascii="宋体" w:hAnsi="Courier New" w:eastAsiaTheme="minorEastAsia" w:cstheme="minorBidi"/>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2768</Words>
  <Characters>3195</Characters>
  <Lines>39</Lines>
  <Paragraphs>11</Paragraphs>
  <TotalTime>1</TotalTime>
  <ScaleCrop>false</ScaleCrop>
  <LinksUpToDate>false</LinksUpToDate>
  <CharactersWithSpaces>3340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对方正在输入...</cp:lastModifiedBy>
  <cp:lastPrinted>2023-07-27T06:39:00Z</cp:lastPrinted>
  <dcterms:modified xsi:type="dcterms:W3CDTF">2023-09-22T08:39:32Z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42E3E7797379494C851B1DAE58EC8ACC_13</vt:lpwstr>
  </property>
</Properties>
</file>