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63ABE">
      <w:pP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投标项目要求：</w:t>
      </w:r>
    </w:p>
    <w:p w14:paraId="5FF2F63B">
      <w:pPr>
        <w:rPr>
          <w:rFonts w:hint="eastAsia" w:ascii="宋体" w:hAnsi="宋体" w:eastAsia="宋体" w:cs="宋体"/>
          <w:sz w:val="24"/>
          <w:szCs w:val="24"/>
        </w:rPr>
      </w:pPr>
      <w:bookmarkStart w:id="0" w:name="_Hlk164420347"/>
      <w:bookmarkStart w:id="1" w:name="_Hlk164418710"/>
      <w:r>
        <w:rPr>
          <w:rFonts w:hint="eastAsia" w:ascii="宋体" w:hAnsi="宋体" w:eastAsia="宋体" w:cs="宋体"/>
          <w:sz w:val="24"/>
          <w:szCs w:val="24"/>
        </w:rPr>
        <w:t>1、售货机设备基本要求：</w:t>
      </w:r>
    </w:p>
    <w:bookmarkEnd w:id="0"/>
    <w:tbl>
      <w:tblPr>
        <w:tblStyle w:val="3"/>
        <w:tblW w:w="4308" w:type="pct"/>
        <w:jc w:val="center"/>
        <w:tblLayout w:type="autofit"/>
        <w:tblCellMar>
          <w:top w:w="0" w:type="dxa"/>
          <w:left w:w="108" w:type="dxa"/>
          <w:bottom w:w="0" w:type="dxa"/>
          <w:right w:w="108" w:type="dxa"/>
        </w:tblCellMar>
      </w:tblPr>
      <w:tblGrid>
        <w:gridCol w:w="696"/>
        <w:gridCol w:w="1991"/>
        <w:gridCol w:w="4656"/>
      </w:tblGrid>
      <w:tr w14:paraId="0B427D24">
        <w:tblPrEx>
          <w:tblCellMar>
            <w:top w:w="0" w:type="dxa"/>
            <w:left w:w="108" w:type="dxa"/>
            <w:bottom w:w="0" w:type="dxa"/>
            <w:right w:w="108" w:type="dxa"/>
          </w:tblCellMar>
        </w:tblPrEx>
        <w:trPr>
          <w:trHeight w:val="388"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86AD9">
            <w:pPr>
              <w:rPr>
                <w:rFonts w:hint="eastAsia" w:ascii="宋体" w:hAnsi="宋体" w:eastAsia="宋体" w:cs="宋体"/>
                <w:sz w:val="24"/>
                <w:szCs w:val="24"/>
              </w:rPr>
            </w:pPr>
            <w:bookmarkStart w:id="2" w:name="_Hlk164369648"/>
            <w:r>
              <w:rPr>
                <w:rFonts w:hint="eastAsia" w:ascii="宋体" w:hAnsi="宋体" w:eastAsia="宋体" w:cs="宋体"/>
                <w:sz w:val="24"/>
                <w:szCs w:val="24"/>
              </w:rPr>
              <w:t>1、</w:t>
            </w:r>
          </w:p>
        </w:tc>
        <w:tc>
          <w:tcPr>
            <w:tcW w:w="1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1D1CB9">
            <w:pPr>
              <w:rPr>
                <w:rFonts w:hint="eastAsia" w:ascii="宋体" w:hAnsi="宋体" w:eastAsia="宋体" w:cs="宋体"/>
                <w:sz w:val="24"/>
                <w:szCs w:val="24"/>
              </w:rPr>
            </w:pPr>
            <w:r>
              <w:rPr>
                <w:rFonts w:hint="eastAsia" w:ascii="宋体" w:hAnsi="宋体" w:eastAsia="宋体" w:cs="宋体"/>
                <w:sz w:val="24"/>
                <w:szCs w:val="24"/>
              </w:rPr>
              <w:t>外形尺寸</w:t>
            </w:r>
          </w:p>
        </w:tc>
        <w:tc>
          <w:tcPr>
            <w:tcW w:w="3179" w:type="pct"/>
            <w:tcBorders>
              <w:top w:val="single" w:color="auto" w:sz="4" w:space="0"/>
              <w:left w:val="nil"/>
              <w:bottom w:val="single" w:color="auto" w:sz="4" w:space="0"/>
              <w:right w:val="single" w:color="auto" w:sz="4" w:space="0"/>
            </w:tcBorders>
            <w:shd w:val="clear" w:color="auto" w:fill="auto"/>
            <w:vAlign w:val="center"/>
          </w:tcPr>
          <w:p w14:paraId="45B50ABC">
            <w:pPr>
              <w:rPr>
                <w:rFonts w:hint="eastAsia" w:ascii="宋体" w:hAnsi="宋体" w:eastAsia="宋体" w:cs="宋体"/>
                <w:sz w:val="24"/>
                <w:szCs w:val="24"/>
              </w:rPr>
            </w:pPr>
            <w:r>
              <w:rPr>
                <w:rFonts w:hint="eastAsia" w:ascii="宋体" w:hAnsi="宋体" w:eastAsia="宋体" w:cs="宋体"/>
                <w:sz w:val="24"/>
                <w:szCs w:val="24"/>
              </w:rPr>
              <w:t>格子机 ：长≤1</w:t>
            </w:r>
            <w:r>
              <w:rPr>
                <w:rFonts w:hint="eastAsia" w:cs="宋体"/>
                <w:sz w:val="24"/>
                <w:szCs w:val="24"/>
                <w:lang w:val="en-US" w:eastAsia="zh-CN"/>
              </w:rPr>
              <w:t>5</w:t>
            </w:r>
            <w:r>
              <w:rPr>
                <w:rFonts w:hint="eastAsia" w:ascii="宋体" w:hAnsi="宋体" w:eastAsia="宋体" w:cs="宋体"/>
                <w:sz w:val="24"/>
                <w:szCs w:val="24"/>
              </w:rPr>
              <w:t>00mm，厚≥420mm，高≤1920</w:t>
            </w:r>
          </w:p>
        </w:tc>
      </w:tr>
      <w:tr w14:paraId="0D17A9B4">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280CBCF2">
            <w:pPr>
              <w:rPr>
                <w:rFonts w:hint="eastAsia" w:ascii="宋体" w:hAnsi="宋体" w:eastAsia="宋体" w:cs="宋体"/>
                <w:sz w:val="24"/>
                <w:szCs w:val="24"/>
              </w:rPr>
            </w:pPr>
            <w:r>
              <w:rPr>
                <w:rFonts w:hint="eastAsia" w:ascii="宋体" w:hAnsi="宋体" w:eastAsia="宋体" w:cs="宋体"/>
                <w:sz w:val="24"/>
                <w:szCs w:val="24"/>
              </w:rPr>
              <w:t>2、</w:t>
            </w:r>
          </w:p>
        </w:tc>
        <w:tc>
          <w:tcPr>
            <w:tcW w:w="1365" w:type="pct"/>
            <w:vMerge w:val="continue"/>
            <w:tcBorders>
              <w:top w:val="single" w:color="auto" w:sz="4" w:space="0"/>
              <w:left w:val="single" w:color="auto" w:sz="4" w:space="0"/>
              <w:bottom w:val="single" w:color="auto" w:sz="4" w:space="0"/>
              <w:right w:val="single" w:color="auto" w:sz="4" w:space="0"/>
            </w:tcBorders>
            <w:vAlign w:val="center"/>
          </w:tcPr>
          <w:p w14:paraId="1A9F5CE0">
            <w:pPr>
              <w:rPr>
                <w:rFonts w:hint="eastAsia" w:ascii="宋体" w:hAnsi="宋体" w:eastAsia="宋体" w:cs="宋体"/>
                <w:sz w:val="24"/>
                <w:szCs w:val="24"/>
              </w:rPr>
            </w:pPr>
          </w:p>
        </w:tc>
        <w:tc>
          <w:tcPr>
            <w:tcW w:w="3179" w:type="pct"/>
            <w:tcBorders>
              <w:top w:val="nil"/>
              <w:left w:val="nil"/>
              <w:bottom w:val="single" w:color="auto" w:sz="4" w:space="0"/>
              <w:right w:val="single" w:color="auto" w:sz="4" w:space="0"/>
            </w:tcBorders>
            <w:shd w:val="clear" w:color="auto" w:fill="auto"/>
            <w:vAlign w:val="center"/>
          </w:tcPr>
          <w:p w14:paraId="5FC3B73F">
            <w:pPr>
              <w:rPr>
                <w:rFonts w:hint="eastAsia" w:ascii="宋体" w:hAnsi="宋体" w:eastAsia="宋体" w:cs="宋体"/>
                <w:sz w:val="24"/>
                <w:szCs w:val="24"/>
              </w:rPr>
            </w:pPr>
            <w:r>
              <w:rPr>
                <w:rFonts w:hint="eastAsia" w:ascii="宋体" w:hAnsi="宋体" w:eastAsia="宋体" w:cs="宋体"/>
                <w:sz w:val="24"/>
                <w:szCs w:val="24"/>
              </w:rPr>
              <w:t>推杆机：长≤100mm，厚≤800mm，高≤1900</w:t>
            </w:r>
          </w:p>
        </w:tc>
      </w:tr>
      <w:tr w14:paraId="6E3DDDF1">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B53A798">
            <w:pPr>
              <w:rPr>
                <w:rFonts w:hint="eastAsia" w:ascii="宋体" w:hAnsi="宋体" w:eastAsia="宋体" w:cs="宋体"/>
                <w:sz w:val="24"/>
                <w:szCs w:val="24"/>
              </w:rPr>
            </w:pPr>
            <w:r>
              <w:rPr>
                <w:rFonts w:hint="eastAsia" w:ascii="宋体" w:hAnsi="宋体" w:eastAsia="宋体" w:cs="宋体"/>
                <w:sz w:val="24"/>
                <w:szCs w:val="24"/>
              </w:rPr>
              <w:t>3、</w:t>
            </w:r>
          </w:p>
        </w:tc>
        <w:tc>
          <w:tcPr>
            <w:tcW w:w="1365" w:type="pct"/>
            <w:vMerge w:val="restart"/>
            <w:tcBorders>
              <w:top w:val="nil"/>
              <w:left w:val="single" w:color="auto" w:sz="4" w:space="0"/>
              <w:bottom w:val="single" w:color="auto" w:sz="4" w:space="0"/>
              <w:right w:val="single" w:color="auto" w:sz="4" w:space="0"/>
            </w:tcBorders>
            <w:shd w:val="clear" w:color="auto" w:fill="auto"/>
            <w:vAlign w:val="center"/>
          </w:tcPr>
          <w:p w14:paraId="7824BF13">
            <w:pPr>
              <w:rPr>
                <w:rFonts w:hint="eastAsia" w:ascii="宋体" w:hAnsi="宋体" w:eastAsia="宋体" w:cs="宋体"/>
                <w:sz w:val="24"/>
                <w:szCs w:val="24"/>
              </w:rPr>
            </w:pPr>
            <w:r>
              <w:rPr>
                <w:rFonts w:hint="eastAsia" w:ascii="宋体" w:hAnsi="宋体" w:eastAsia="宋体" w:cs="宋体"/>
                <w:sz w:val="24"/>
                <w:szCs w:val="24"/>
              </w:rPr>
              <w:t>单台设备占地面积</w:t>
            </w:r>
          </w:p>
        </w:tc>
        <w:tc>
          <w:tcPr>
            <w:tcW w:w="3179" w:type="pct"/>
            <w:tcBorders>
              <w:top w:val="nil"/>
              <w:left w:val="nil"/>
              <w:bottom w:val="single" w:color="auto" w:sz="4" w:space="0"/>
              <w:right w:val="single" w:color="auto" w:sz="4" w:space="0"/>
            </w:tcBorders>
            <w:shd w:val="clear" w:color="auto" w:fill="auto"/>
            <w:vAlign w:val="center"/>
          </w:tcPr>
          <w:p w14:paraId="0DBBE0F1">
            <w:pPr>
              <w:rPr>
                <w:rFonts w:hint="eastAsia" w:ascii="宋体" w:hAnsi="宋体" w:eastAsia="宋体" w:cs="宋体"/>
                <w:sz w:val="24"/>
                <w:szCs w:val="24"/>
              </w:rPr>
            </w:pPr>
            <w:r>
              <w:rPr>
                <w:rFonts w:hint="eastAsia" w:ascii="宋体" w:hAnsi="宋体" w:eastAsia="宋体" w:cs="宋体"/>
                <w:sz w:val="24"/>
                <w:szCs w:val="24"/>
              </w:rPr>
              <w:t>格子机 ：≤0.59平方</w:t>
            </w:r>
          </w:p>
        </w:tc>
      </w:tr>
      <w:tr w14:paraId="7F5BF4D2">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848140A">
            <w:pPr>
              <w:rPr>
                <w:rFonts w:hint="eastAsia" w:ascii="宋体" w:hAnsi="宋体" w:eastAsia="宋体" w:cs="宋体"/>
                <w:sz w:val="24"/>
                <w:szCs w:val="24"/>
              </w:rPr>
            </w:pPr>
            <w:r>
              <w:rPr>
                <w:rFonts w:hint="eastAsia" w:ascii="宋体" w:hAnsi="宋体" w:eastAsia="宋体" w:cs="宋体"/>
                <w:sz w:val="24"/>
                <w:szCs w:val="24"/>
              </w:rPr>
              <w:t>4、</w:t>
            </w:r>
          </w:p>
        </w:tc>
        <w:tc>
          <w:tcPr>
            <w:tcW w:w="1365" w:type="pct"/>
            <w:vMerge w:val="continue"/>
            <w:tcBorders>
              <w:top w:val="nil"/>
              <w:left w:val="single" w:color="auto" w:sz="4" w:space="0"/>
              <w:bottom w:val="single" w:color="auto" w:sz="4" w:space="0"/>
              <w:right w:val="single" w:color="auto" w:sz="4" w:space="0"/>
            </w:tcBorders>
            <w:vAlign w:val="center"/>
          </w:tcPr>
          <w:p w14:paraId="31FC10A1">
            <w:pPr>
              <w:rPr>
                <w:rFonts w:hint="eastAsia" w:ascii="宋体" w:hAnsi="宋体" w:eastAsia="宋体" w:cs="宋体"/>
                <w:sz w:val="24"/>
                <w:szCs w:val="24"/>
              </w:rPr>
            </w:pPr>
          </w:p>
        </w:tc>
        <w:tc>
          <w:tcPr>
            <w:tcW w:w="3179" w:type="pct"/>
            <w:tcBorders>
              <w:top w:val="nil"/>
              <w:left w:val="nil"/>
              <w:bottom w:val="single" w:color="auto" w:sz="4" w:space="0"/>
              <w:right w:val="single" w:color="auto" w:sz="4" w:space="0"/>
            </w:tcBorders>
            <w:shd w:val="clear" w:color="auto" w:fill="auto"/>
            <w:vAlign w:val="center"/>
          </w:tcPr>
          <w:p w14:paraId="2DE8ACC6">
            <w:pPr>
              <w:rPr>
                <w:rFonts w:hint="eastAsia" w:ascii="宋体" w:hAnsi="宋体" w:eastAsia="宋体" w:cs="宋体"/>
                <w:sz w:val="24"/>
                <w:szCs w:val="24"/>
              </w:rPr>
            </w:pPr>
            <w:r>
              <w:rPr>
                <w:rFonts w:hint="eastAsia" w:ascii="宋体" w:hAnsi="宋体" w:eastAsia="宋体" w:cs="宋体"/>
                <w:sz w:val="24"/>
                <w:szCs w:val="24"/>
              </w:rPr>
              <w:t>推杆机：≤0.89平方</w:t>
            </w:r>
          </w:p>
        </w:tc>
      </w:tr>
      <w:tr w14:paraId="43556F6A">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1DA971A9">
            <w:pPr>
              <w:rPr>
                <w:rFonts w:hint="eastAsia" w:ascii="宋体" w:hAnsi="宋体" w:eastAsia="宋体" w:cs="宋体"/>
                <w:sz w:val="24"/>
                <w:szCs w:val="24"/>
              </w:rPr>
            </w:pPr>
            <w:r>
              <w:rPr>
                <w:rFonts w:hint="eastAsia" w:ascii="宋体" w:hAnsi="宋体" w:eastAsia="宋体" w:cs="宋体"/>
                <w:sz w:val="24"/>
                <w:szCs w:val="24"/>
              </w:rPr>
              <w:t>5、</w:t>
            </w:r>
          </w:p>
        </w:tc>
        <w:tc>
          <w:tcPr>
            <w:tcW w:w="1365" w:type="pct"/>
            <w:tcBorders>
              <w:top w:val="nil"/>
              <w:left w:val="nil"/>
              <w:bottom w:val="single" w:color="auto" w:sz="4" w:space="0"/>
              <w:right w:val="single" w:color="auto" w:sz="4" w:space="0"/>
            </w:tcBorders>
            <w:shd w:val="clear" w:color="auto" w:fill="auto"/>
            <w:vAlign w:val="center"/>
          </w:tcPr>
          <w:p w14:paraId="4E82D627">
            <w:pPr>
              <w:rPr>
                <w:rFonts w:hint="eastAsia" w:ascii="宋体" w:hAnsi="宋体" w:eastAsia="宋体" w:cs="宋体"/>
                <w:sz w:val="24"/>
                <w:szCs w:val="24"/>
              </w:rPr>
            </w:pPr>
            <w:r>
              <w:rPr>
                <w:rFonts w:hint="eastAsia" w:ascii="宋体" w:hAnsi="宋体" w:eastAsia="宋体" w:cs="宋体"/>
                <w:sz w:val="24"/>
                <w:szCs w:val="24"/>
              </w:rPr>
              <w:t>额定功率</w:t>
            </w:r>
          </w:p>
        </w:tc>
        <w:tc>
          <w:tcPr>
            <w:tcW w:w="3179" w:type="pct"/>
            <w:tcBorders>
              <w:top w:val="nil"/>
              <w:left w:val="nil"/>
              <w:bottom w:val="single" w:color="auto" w:sz="4" w:space="0"/>
              <w:right w:val="single" w:color="auto" w:sz="4" w:space="0"/>
            </w:tcBorders>
            <w:shd w:val="clear" w:color="auto" w:fill="auto"/>
            <w:vAlign w:val="center"/>
          </w:tcPr>
          <w:p w14:paraId="6EE858F5">
            <w:pPr>
              <w:rPr>
                <w:rFonts w:hint="eastAsia" w:ascii="宋体" w:hAnsi="宋体" w:eastAsia="宋体" w:cs="宋体"/>
                <w:sz w:val="24"/>
                <w:szCs w:val="24"/>
              </w:rPr>
            </w:pPr>
            <w:r>
              <w:rPr>
                <w:rFonts w:hint="eastAsia" w:ascii="宋体" w:hAnsi="宋体" w:eastAsia="宋体" w:cs="宋体"/>
                <w:sz w:val="24"/>
                <w:szCs w:val="24"/>
              </w:rPr>
              <w:t>≤100W</w:t>
            </w:r>
          </w:p>
        </w:tc>
      </w:tr>
      <w:tr w14:paraId="480EF22D">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34B508CE">
            <w:pPr>
              <w:rPr>
                <w:rFonts w:hint="eastAsia" w:ascii="宋体" w:hAnsi="宋体" w:eastAsia="宋体" w:cs="宋体"/>
                <w:sz w:val="24"/>
                <w:szCs w:val="24"/>
              </w:rPr>
            </w:pPr>
            <w:r>
              <w:rPr>
                <w:rFonts w:hint="eastAsia" w:ascii="宋体" w:hAnsi="宋体" w:eastAsia="宋体" w:cs="宋体"/>
                <w:sz w:val="24"/>
                <w:szCs w:val="24"/>
              </w:rPr>
              <w:t>6、</w:t>
            </w:r>
          </w:p>
        </w:tc>
        <w:tc>
          <w:tcPr>
            <w:tcW w:w="1365" w:type="pct"/>
            <w:tcBorders>
              <w:top w:val="nil"/>
              <w:left w:val="nil"/>
              <w:bottom w:val="single" w:color="auto" w:sz="4" w:space="0"/>
              <w:right w:val="single" w:color="auto" w:sz="4" w:space="0"/>
            </w:tcBorders>
            <w:shd w:val="clear" w:color="auto" w:fill="auto"/>
            <w:vAlign w:val="center"/>
          </w:tcPr>
          <w:p w14:paraId="56818C32">
            <w:pPr>
              <w:rPr>
                <w:rFonts w:hint="eastAsia" w:ascii="宋体" w:hAnsi="宋体" w:eastAsia="宋体" w:cs="宋体"/>
                <w:sz w:val="24"/>
                <w:szCs w:val="24"/>
              </w:rPr>
            </w:pPr>
            <w:r>
              <w:rPr>
                <w:rFonts w:hint="eastAsia" w:ascii="宋体" w:hAnsi="宋体" w:eastAsia="宋体" w:cs="宋体"/>
                <w:sz w:val="24"/>
                <w:szCs w:val="24"/>
              </w:rPr>
              <w:t>网络接入</w:t>
            </w:r>
          </w:p>
        </w:tc>
        <w:tc>
          <w:tcPr>
            <w:tcW w:w="3179" w:type="pct"/>
            <w:tcBorders>
              <w:top w:val="nil"/>
              <w:left w:val="nil"/>
              <w:bottom w:val="single" w:color="auto" w:sz="4" w:space="0"/>
              <w:right w:val="single" w:color="auto" w:sz="4" w:space="0"/>
            </w:tcBorders>
            <w:shd w:val="clear" w:color="auto" w:fill="auto"/>
            <w:vAlign w:val="center"/>
          </w:tcPr>
          <w:p w14:paraId="7C4303CD">
            <w:pPr>
              <w:rPr>
                <w:rFonts w:hint="eastAsia" w:ascii="宋体" w:hAnsi="宋体" w:eastAsia="宋体" w:cs="宋体"/>
                <w:sz w:val="24"/>
                <w:szCs w:val="24"/>
              </w:rPr>
            </w:pPr>
            <w:r>
              <w:rPr>
                <w:rFonts w:hint="eastAsia" w:ascii="宋体" w:hAnsi="宋体" w:eastAsia="宋体" w:cs="宋体"/>
                <w:sz w:val="24"/>
                <w:szCs w:val="24"/>
              </w:rPr>
              <w:t>支持4G物联卡</w:t>
            </w:r>
          </w:p>
        </w:tc>
      </w:tr>
      <w:tr w14:paraId="2509FE07">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2A5999DF">
            <w:pPr>
              <w:rPr>
                <w:rFonts w:hint="eastAsia" w:ascii="宋体" w:hAnsi="宋体" w:eastAsia="宋体" w:cs="宋体"/>
                <w:sz w:val="24"/>
                <w:szCs w:val="24"/>
              </w:rPr>
            </w:pPr>
            <w:r>
              <w:rPr>
                <w:rFonts w:hint="eastAsia" w:ascii="宋体" w:hAnsi="宋体" w:eastAsia="宋体" w:cs="宋体"/>
                <w:sz w:val="24"/>
                <w:szCs w:val="24"/>
              </w:rPr>
              <w:t>7、</w:t>
            </w:r>
          </w:p>
        </w:tc>
        <w:tc>
          <w:tcPr>
            <w:tcW w:w="1365" w:type="pct"/>
            <w:tcBorders>
              <w:top w:val="nil"/>
              <w:left w:val="nil"/>
              <w:bottom w:val="single" w:color="auto" w:sz="4" w:space="0"/>
              <w:right w:val="single" w:color="auto" w:sz="4" w:space="0"/>
            </w:tcBorders>
            <w:shd w:val="clear" w:color="auto" w:fill="auto"/>
            <w:vAlign w:val="center"/>
          </w:tcPr>
          <w:p w14:paraId="066E9FC0">
            <w:pPr>
              <w:rPr>
                <w:rFonts w:hint="eastAsia" w:ascii="宋体" w:hAnsi="宋体" w:eastAsia="宋体" w:cs="宋体"/>
                <w:sz w:val="24"/>
                <w:szCs w:val="24"/>
              </w:rPr>
            </w:pPr>
            <w:r>
              <w:rPr>
                <w:rFonts w:hint="eastAsia" w:ascii="宋体" w:hAnsi="宋体" w:eastAsia="宋体" w:cs="宋体"/>
                <w:sz w:val="24"/>
                <w:szCs w:val="24"/>
              </w:rPr>
              <w:t>操控屏幕</w:t>
            </w:r>
          </w:p>
        </w:tc>
        <w:tc>
          <w:tcPr>
            <w:tcW w:w="3179" w:type="pct"/>
            <w:tcBorders>
              <w:top w:val="nil"/>
              <w:left w:val="nil"/>
              <w:bottom w:val="single" w:color="auto" w:sz="4" w:space="0"/>
              <w:right w:val="single" w:color="auto" w:sz="4" w:space="0"/>
            </w:tcBorders>
            <w:shd w:val="clear" w:color="auto" w:fill="auto"/>
            <w:vAlign w:val="center"/>
          </w:tcPr>
          <w:p w14:paraId="7F82F8BC">
            <w:pPr>
              <w:rPr>
                <w:rFonts w:hint="eastAsia" w:ascii="宋体" w:hAnsi="宋体" w:eastAsia="宋体" w:cs="宋体"/>
                <w:sz w:val="24"/>
                <w:szCs w:val="24"/>
              </w:rPr>
            </w:pPr>
            <w:r>
              <w:rPr>
                <w:rFonts w:hint="eastAsia" w:ascii="宋体" w:hAnsi="宋体" w:eastAsia="宋体" w:cs="宋体"/>
                <w:sz w:val="24"/>
                <w:szCs w:val="24"/>
              </w:rPr>
              <w:t>≥10寸</w:t>
            </w:r>
          </w:p>
        </w:tc>
      </w:tr>
      <w:tr w14:paraId="490BBFAB">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1D02D9AD">
            <w:pPr>
              <w:rPr>
                <w:rFonts w:hint="eastAsia" w:ascii="宋体" w:hAnsi="宋体" w:eastAsia="宋体" w:cs="宋体"/>
                <w:sz w:val="24"/>
                <w:szCs w:val="24"/>
              </w:rPr>
            </w:pPr>
            <w:r>
              <w:rPr>
                <w:rFonts w:hint="eastAsia" w:ascii="宋体" w:hAnsi="宋体" w:eastAsia="宋体" w:cs="宋体"/>
                <w:sz w:val="24"/>
                <w:szCs w:val="24"/>
              </w:rPr>
              <w:t>8、</w:t>
            </w:r>
          </w:p>
        </w:tc>
        <w:tc>
          <w:tcPr>
            <w:tcW w:w="1365" w:type="pct"/>
            <w:tcBorders>
              <w:top w:val="nil"/>
              <w:left w:val="nil"/>
              <w:bottom w:val="single" w:color="auto" w:sz="4" w:space="0"/>
              <w:right w:val="single" w:color="auto" w:sz="4" w:space="0"/>
            </w:tcBorders>
            <w:shd w:val="clear" w:color="auto" w:fill="auto"/>
            <w:vAlign w:val="center"/>
          </w:tcPr>
          <w:p w14:paraId="742137B7">
            <w:pPr>
              <w:rPr>
                <w:rFonts w:hint="eastAsia" w:ascii="宋体" w:hAnsi="宋体" w:eastAsia="宋体" w:cs="宋体"/>
                <w:sz w:val="24"/>
                <w:szCs w:val="24"/>
              </w:rPr>
            </w:pPr>
            <w:r>
              <w:rPr>
                <w:rFonts w:hint="eastAsia" w:ascii="宋体" w:hAnsi="宋体" w:eastAsia="宋体" w:cs="宋体"/>
                <w:sz w:val="24"/>
                <w:szCs w:val="24"/>
              </w:rPr>
              <w:t>操作系统</w:t>
            </w:r>
          </w:p>
        </w:tc>
        <w:tc>
          <w:tcPr>
            <w:tcW w:w="3179" w:type="pct"/>
            <w:tcBorders>
              <w:top w:val="nil"/>
              <w:left w:val="nil"/>
              <w:bottom w:val="single" w:color="auto" w:sz="4" w:space="0"/>
              <w:right w:val="single" w:color="auto" w:sz="4" w:space="0"/>
            </w:tcBorders>
            <w:shd w:val="clear" w:color="auto" w:fill="auto"/>
            <w:vAlign w:val="center"/>
          </w:tcPr>
          <w:p w14:paraId="77674FA2">
            <w:pPr>
              <w:rPr>
                <w:rFonts w:hint="eastAsia" w:ascii="宋体" w:hAnsi="宋体" w:eastAsia="宋体" w:cs="宋体"/>
                <w:sz w:val="24"/>
                <w:szCs w:val="24"/>
              </w:rPr>
            </w:pPr>
            <w:r>
              <w:rPr>
                <w:rFonts w:hint="eastAsia" w:ascii="宋体" w:hAnsi="宋体" w:eastAsia="宋体" w:cs="宋体"/>
                <w:sz w:val="24"/>
                <w:szCs w:val="24"/>
              </w:rPr>
              <w:t>安卓</w:t>
            </w:r>
          </w:p>
        </w:tc>
      </w:tr>
      <w:tr w14:paraId="5664FD0C">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7F07115">
            <w:pPr>
              <w:rPr>
                <w:rFonts w:hint="eastAsia" w:ascii="宋体" w:hAnsi="宋体" w:eastAsia="宋体" w:cs="宋体"/>
                <w:sz w:val="24"/>
                <w:szCs w:val="24"/>
              </w:rPr>
            </w:pPr>
            <w:r>
              <w:rPr>
                <w:rFonts w:hint="eastAsia" w:ascii="宋体" w:hAnsi="宋体" w:eastAsia="宋体" w:cs="宋体"/>
                <w:sz w:val="24"/>
                <w:szCs w:val="24"/>
              </w:rPr>
              <w:t>9、</w:t>
            </w:r>
          </w:p>
        </w:tc>
        <w:tc>
          <w:tcPr>
            <w:tcW w:w="1365" w:type="pct"/>
            <w:tcBorders>
              <w:top w:val="nil"/>
              <w:left w:val="nil"/>
              <w:bottom w:val="single" w:color="auto" w:sz="4" w:space="0"/>
              <w:right w:val="single" w:color="auto" w:sz="4" w:space="0"/>
            </w:tcBorders>
            <w:shd w:val="clear" w:color="auto" w:fill="auto"/>
            <w:vAlign w:val="center"/>
          </w:tcPr>
          <w:p w14:paraId="7174D36C">
            <w:pPr>
              <w:rPr>
                <w:rFonts w:hint="eastAsia" w:ascii="宋体" w:hAnsi="宋体" w:eastAsia="宋体" w:cs="宋体"/>
                <w:sz w:val="24"/>
                <w:szCs w:val="24"/>
              </w:rPr>
            </w:pPr>
            <w:r>
              <w:rPr>
                <w:rFonts w:hint="eastAsia" w:ascii="宋体" w:hAnsi="宋体" w:eastAsia="宋体" w:cs="宋体"/>
                <w:sz w:val="24"/>
                <w:szCs w:val="24"/>
              </w:rPr>
              <w:t>取货方式</w:t>
            </w:r>
          </w:p>
        </w:tc>
        <w:tc>
          <w:tcPr>
            <w:tcW w:w="3179" w:type="pct"/>
            <w:tcBorders>
              <w:top w:val="nil"/>
              <w:left w:val="nil"/>
              <w:bottom w:val="single" w:color="auto" w:sz="4" w:space="0"/>
              <w:right w:val="single" w:color="auto" w:sz="4" w:space="0"/>
            </w:tcBorders>
            <w:shd w:val="clear" w:color="auto" w:fill="auto"/>
            <w:vAlign w:val="center"/>
          </w:tcPr>
          <w:p w14:paraId="246915E4">
            <w:pPr>
              <w:rPr>
                <w:rFonts w:hint="eastAsia" w:ascii="宋体" w:hAnsi="宋体" w:eastAsia="宋体" w:cs="宋体"/>
                <w:sz w:val="24"/>
                <w:szCs w:val="24"/>
              </w:rPr>
            </w:pPr>
            <w:r>
              <w:rPr>
                <w:rFonts w:hint="eastAsia" w:ascii="宋体" w:hAnsi="宋体" w:eastAsia="宋体" w:cs="宋体"/>
                <w:sz w:val="24"/>
                <w:szCs w:val="24"/>
              </w:rPr>
              <w:t>推杆式或者电磁锁开门</w:t>
            </w:r>
          </w:p>
        </w:tc>
      </w:tr>
      <w:tr w14:paraId="4D09AD3F">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52821E6">
            <w:pPr>
              <w:rPr>
                <w:rFonts w:hint="eastAsia" w:ascii="宋体" w:hAnsi="宋体" w:eastAsia="宋体" w:cs="宋体"/>
                <w:sz w:val="24"/>
                <w:szCs w:val="24"/>
              </w:rPr>
            </w:pPr>
            <w:r>
              <w:rPr>
                <w:rFonts w:hint="eastAsia" w:ascii="宋体" w:hAnsi="宋体" w:eastAsia="宋体" w:cs="宋体"/>
                <w:sz w:val="24"/>
                <w:szCs w:val="24"/>
              </w:rPr>
              <w:t>10、</w:t>
            </w:r>
          </w:p>
        </w:tc>
        <w:tc>
          <w:tcPr>
            <w:tcW w:w="1365" w:type="pct"/>
            <w:tcBorders>
              <w:top w:val="nil"/>
              <w:left w:val="nil"/>
              <w:bottom w:val="single" w:color="auto" w:sz="4" w:space="0"/>
              <w:right w:val="single" w:color="auto" w:sz="4" w:space="0"/>
            </w:tcBorders>
            <w:shd w:val="clear" w:color="auto" w:fill="auto"/>
            <w:vAlign w:val="center"/>
          </w:tcPr>
          <w:p w14:paraId="0F5CE51A">
            <w:pPr>
              <w:rPr>
                <w:rFonts w:hint="eastAsia" w:ascii="宋体" w:hAnsi="宋体" w:eastAsia="宋体" w:cs="宋体"/>
                <w:sz w:val="24"/>
                <w:szCs w:val="24"/>
              </w:rPr>
            </w:pPr>
            <w:r>
              <w:rPr>
                <w:rFonts w:hint="eastAsia" w:ascii="宋体" w:hAnsi="宋体" w:eastAsia="宋体" w:cs="宋体"/>
                <w:sz w:val="24"/>
                <w:szCs w:val="24"/>
              </w:rPr>
              <w:t>支付方式</w:t>
            </w:r>
          </w:p>
        </w:tc>
        <w:tc>
          <w:tcPr>
            <w:tcW w:w="3179" w:type="pct"/>
            <w:tcBorders>
              <w:top w:val="nil"/>
              <w:left w:val="nil"/>
              <w:bottom w:val="single" w:color="auto" w:sz="4" w:space="0"/>
              <w:right w:val="single" w:color="auto" w:sz="4" w:space="0"/>
            </w:tcBorders>
            <w:shd w:val="clear" w:color="auto" w:fill="auto"/>
            <w:vAlign w:val="center"/>
          </w:tcPr>
          <w:p w14:paraId="249BFF6F">
            <w:pPr>
              <w:rPr>
                <w:rFonts w:hint="eastAsia" w:ascii="宋体" w:hAnsi="宋体" w:eastAsia="宋体" w:cs="宋体"/>
                <w:sz w:val="24"/>
                <w:szCs w:val="24"/>
              </w:rPr>
            </w:pPr>
            <w:r>
              <w:rPr>
                <w:rFonts w:hint="eastAsia" w:ascii="宋体" w:hAnsi="宋体" w:eastAsia="宋体" w:cs="宋体"/>
                <w:sz w:val="24"/>
                <w:szCs w:val="24"/>
              </w:rPr>
              <w:t>微信/支付宝扫码支付</w:t>
            </w:r>
          </w:p>
        </w:tc>
      </w:tr>
      <w:tr w14:paraId="7133C66F">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B00A526">
            <w:pPr>
              <w:rPr>
                <w:rFonts w:hint="eastAsia" w:ascii="宋体" w:hAnsi="宋体" w:eastAsia="宋体" w:cs="宋体"/>
                <w:sz w:val="24"/>
                <w:szCs w:val="24"/>
              </w:rPr>
            </w:pPr>
            <w:r>
              <w:rPr>
                <w:rFonts w:hint="eastAsia" w:ascii="宋体" w:hAnsi="宋体" w:eastAsia="宋体" w:cs="宋体"/>
                <w:sz w:val="24"/>
                <w:szCs w:val="24"/>
              </w:rPr>
              <w:t>11、</w:t>
            </w:r>
          </w:p>
        </w:tc>
        <w:tc>
          <w:tcPr>
            <w:tcW w:w="1365" w:type="pct"/>
            <w:tcBorders>
              <w:top w:val="nil"/>
              <w:left w:val="nil"/>
              <w:bottom w:val="single" w:color="auto" w:sz="4" w:space="0"/>
              <w:right w:val="single" w:color="auto" w:sz="4" w:space="0"/>
            </w:tcBorders>
            <w:shd w:val="clear" w:color="auto" w:fill="auto"/>
            <w:vAlign w:val="center"/>
          </w:tcPr>
          <w:p w14:paraId="6E2103CF">
            <w:pPr>
              <w:rPr>
                <w:rFonts w:hint="eastAsia" w:ascii="宋体" w:hAnsi="宋体" w:eastAsia="宋体" w:cs="宋体"/>
                <w:sz w:val="24"/>
                <w:szCs w:val="24"/>
              </w:rPr>
            </w:pPr>
            <w:r>
              <w:rPr>
                <w:rFonts w:hint="eastAsia" w:ascii="宋体" w:hAnsi="宋体" w:eastAsia="宋体" w:cs="宋体"/>
                <w:sz w:val="24"/>
                <w:szCs w:val="24"/>
              </w:rPr>
              <w:t>纸质小票</w:t>
            </w:r>
          </w:p>
        </w:tc>
        <w:tc>
          <w:tcPr>
            <w:tcW w:w="3179" w:type="pct"/>
            <w:tcBorders>
              <w:top w:val="nil"/>
              <w:left w:val="nil"/>
              <w:bottom w:val="single" w:color="auto" w:sz="4" w:space="0"/>
              <w:right w:val="single" w:color="auto" w:sz="4" w:space="0"/>
            </w:tcBorders>
            <w:shd w:val="clear" w:color="auto" w:fill="auto"/>
            <w:vAlign w:val="center"/>
          </w:tcPr>
          <w:p w14:paraId="204D3F99">
            <w:pPr>
              <w:rPr>
                <w:rFonts w:hint="eastAsia" w:ascii="宋体" w:hAnsi="宋体" w:eastAsia="宋体" w:cs="宋体"/>
                <w:sz w:val="24"/>
                <w:szCs w:val="24"/>
              </w:rPr>
            </w:pPr>
            <w:r>
              <w:rPr>
                <w:rFonts w:hint="eastAsia" w:ascii="宋体" w:hAnsi="宋体" w:eastAsia="宋体" w:cs="宋体"/>
                <w:sz w:val="24"/>
                <w:szCs w:val="24"/>
              </w:rPr>
              <w:t>自带或选配</w:t>
            </w:r>
          </w:p>
        </w:tc>
      </w:tr>
      <w:tr w14:paraId="203DE5E2">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64845934">
            <w:pPr>
              <w:rPr>
                <w:rFonts w:hint="eastAsia" w:ascii="宋体" w:hAnsi="宋体" w:eastAsia="宋体" w:cs="宋体"/>
                <w:sz w:val="24"/>
                <w:szCs w:val="24"/>
              </w:rPr>
            </w:pPr>
            <w:r>
              <w:rPr>
                <w:rFonts w:hint="eastAsia" w:ascii="宋体" w:hAnsi="宋体" w:eastAsia="宋体" w:cs="宋体"/>
                <w:sz w:val="24"/>
                <w:szCs w:val="24"/>
              </w:rPr>
              <w:t>12、</w:t>
            </w:r>
          </w:p>
        </w:tc>
        <w:tc>
          <w:tcPr>
            <w:tcW w:w="1365" w:type="pct"/>
            <w:tcBorders>
              <w:top w:val="nil"/>
              <w:left w:val="nil"/>
              <w:bottom w:val="single" w:color="auto" w:sz="4" w:space="0"/>
              <w:right w:val="single" w:color="auto" w:sz="4" w:space="0"/>
            </w:tcBorders>
            <w:shd w:val="clear" w:color="auto" w:fill="auto"/>
            <w:vAlign w:val="center"/>
          </w:tcPr>
          <w:p w14:paraId="41DF237A">
            <w:pPr>
              <w:rPr>
                <w:rFonts w:hint="eastAsia" w:ascii="宋体" w:hAnsi="宋体" w:eastAsia="宋体" w:cs="宋体"/>
                <w:sz w:val="24"/>
                <w:szCs w:val="24"/>
              </w:rPr>
            </w:pPr>
            <w:r>
              <w:rPr>
                <w:rFonts w:hint="eastAsia" w:ascii="宋体" w:hAnsi="宋体" w:eastAsia="宋体" w:cs="宋体"/>
                <w:sz w:val="24"/>
                <w:szCs w:val="24"/>
              </w:rPr>
              <w:t>副机连接</w:t>
            </w:r>
          </w:p>
        </w:tc>
        <w:tc>
          <w:tcPr>
            <w:tcW w:w="3179" w:type="pct"/>
            <w:tcBorders>
              <w:top w:val="nil"/>
              <w:left w:val="nil"/>
              <w:bottom w:val="single" w:color="auto" w:sz="4" w:space="0"/>
              <w:right w:val="single" w:color="auto" w:sz="4" w:space="0"/>
            </w:tcBorders>
            <w:shd w:val="clear" w:color="auto" w:fill="auto"/>
            <w:vAlign w:val="center"/>
          </w:tcPr>
          <w:p w14:paraId="3019F1DF">
            <w:pPr>
              <w:rPr>
                <w:rFonts w:hint="eastAsia" w:ascii="宋体" w:hAnsi="宋体" w:eastAsia="宋体" w:cs="宋体"/>
                <w:sz w:val="24"/>
                <w:szCs w:val="24"/>
              </w:rPr>
            </w:pPr>
            <w:r>
              <w:rPr>
                <w:rFonts w:hint="eastAsia" w:ascii="宋体" w:hAnsi="宋体" w:eastAsia="宋体" w:cs="宋体"/>
                <w:sz w:val="24"/>
                <w:szCs w:val="24"/>
              </w:rPr>
              <w:t>售货机设备应支持连接副机功能。</w:t>
            </w:r>
          </w:p>
        </w:tc>
      </w:tr>
      <w:tr w14:paraId="7FC322D3">
        <w:tblPrEx>
          <w:tblCellMar>
            <w:top w:w="0" w:type="dxa"/>
            <w:left w:w="108" w:type="dxa"/>
            <w:bottom w:w="0" w:type="dxa"/>
            <w:right w:w="108" w:type="dxa"/>
          </w:tblCellMar>
        </w:tblPrEx>
        <w:trPr>
          <w:trHeight w:val="73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6A343902">
            <w:pPr>
              <w:rPr>
                <w:rFonts w:hint="eastAsia" w:ascii="宋体" w:hAnsi="宋体" w:eastAsia="宋体" w:cs="宋体"/>
                <w:sz w:val="24"/>
                <w:szCs w:val="24"/>
              </w:rPr>
            </w:pPr>
            <w:r>
              <w:rPr>
                <w:rFonts w:hint="eastAsia" w:ascii="宋体" w:hAnsi="宋体" w:eastAsia="宋体" w:cs="宋体"/>
                <w:sz w:val="24"/>
                <w:szCs w:val="24"/>
              </w:rPr>
              <w:t>13、</w:t>
            </w:r>
          </w:p>
        </w:tc>
        <w:tc>
          <w:tcPr>
            <w:tcW w:w="1365" w:type="pct"/>
            <w:tcBorders>
              <w:top w:val="nil"/>
              <w:left w:val="nil"/>
              <w:bottom w:val="single" w:color="auto" w:sz="4" w:space="0"/>
              <w:right w:val="single" w:color="auto" w:sz="4" w:space="0"/>
            </w:tcBorders>
            <w:shd w:val="clear" w:color="auto" w:fill="auto"/>
            <w:vAlign w:val="center"/>
          </w:tcPr>
          <w:p w14:paraId="003A2EF6">
            <w:pPr>
              <w:rPr>
                <w:rFonts w:hint="eastAsia" w:ascii="宋体" w:hAnsi="宋体" w:eastAsia="宋体" w:cs="宋体"/>
                <w:sz w:val="24"/>
                <w:szCs w:val="24"/>
              </w:rPr>
            </w:pPr>
            <w:r>
              <w:rPr>
                <w:rFonts w:hint="eastAsia" w:ascii="宋体" w:hAnsi="宋体" w:eastAsia="宋体" w:cs="宋体"/>
                <w:sz w:val="24"/>
                <w:szCs w:val="24"/>
              </w:rPr>
              <w:t>屏幕广告</w:t>
            </w:r>
          </w:p>
        </w:tc>
        <w:tc>
          <w:tcPr>
            <w:tcW w:w="3179" w:type="pct"/>
            <w:tcBorders>
              <w:top w:val="nil"/>
              <w:left w:val="nil"/>
              <w:bottom w:val="single" w:color="auto" w:sz="4" w:space="0"/>
              <w:right w:val="single" w:color="auto" w:sz="4" w:space="0"/>
            </w:tcBorders>
            <w:shd w:val="clear" w:color="auto" w:fill="auto"/>
            <w:vAlign w:val="center"/>
          </w:tcPr>
          <w:p w14:paraId="7F7D9F72">
            <w:pPr>
              <w:rPr>
                <w:rFonts w:hint="eastAsia" w:ascii="宋体" w:hAnsi="宋体" w:eastAsia="宋体" w:cs="宋体"/>
                <w:sz w:val="24"/>
                <w:szCs w:val="24"/>
              </w:rPr>
            </w:pPr>
            <w:r>
              <w:rPr>
                <w:rFonts w:hint="eastAsia" w:ascii="宋体" w:hAnsi="宋体" w:eastAsia="宋体" w:cs="宋体"/>
                <w:sz w:val="24"/>
                <w:szCs w:val="24"/>
              </w:rPr>
              <w:t>售货机设备应支持播放患者教育，政策宣传视频文字广告功能。</w:t>
            </w:r>
          </w:p>
        </w:tc>
      </w:tr>
      <w:tr w14:paraId="3DF47595">
        <w:tblPrEx>
          <w:tblCellMar>
            <w:top w:w="0" w:type="dxa"/>
            <w:left w:w="108" w:type="dxa"/>
            <w:bottom w:w="0" w:type="dxa"/>
            <w:right w:w="108" w:type="dxa"/>
          </w:tblCellMar>
        </w:tblPrEx>
        <w:trPr>
          <w:trHeight w:val="73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D1EED29">
            <w:pPr>
              <w:rPr>
                <w:rFonts w:hint="eastAsia" w:ascii="宋体" w:hAnsi="宋体" w:eastAsia="宋体" w:cs="宋体"/>
                <w:sz w:val="24"/>
                <w:szCs w:val="24"/>
              </w:rPr>
            </w:pPr>
            <w:r>
              <w:rPr>
                <w:rFonts w:hint="eastAsia" w:ascii="宋体" w:hAnsi="宋体" w:eastAsia="宋体" w:cs="宋体"/>
                <w:sz w:val="24"/>
                <w:szCs w:val="24"/>
              </w:rPr>
              <w:t>14、</w:t>
            </w:r>
          </w:p>
        </w:tc>
        <w:tc>
          <w:tcPr>
            <w:tcW w:w="1365" w:type="pct"/>
            <w:tcBorders>
              <w:top w:val="nil"/>
              <w:left w:val="nil"/>
              <w:bottom w:val="single" w:color="auto" w:sz="4" w:space="0"/>
              <w:right w:val="single" w:color="auto" w:sz="4" w:space="0"/>
            </w:tcBorders>
            <w:shd w:val="clear" w:color="auto" w:fill="auto"/>
            <w:vAlign w:val="center"/>
          </w:tcPr>
          <w:p w14:paraId="39574D65">
            <w:pPr>
              <w:rPr>
                <w:rFonts w:hint="eastAsia" w:ascii="宋体" w:hAnsi="宋体" w:eastAsia="宋体" w:cs="宋体"/>
                <w:sz w:val="24"/>
                <w:szCs w:val="24"/>
              </w:rPr>
            </w:pPr>
            <w:r>
              <w:rPr>
                <w:rFonts w:hint="eastAsia" w:ascii="宋体" w:hAnsi="宋体" w:eastAsia="宋体" w:cs="宋体"/>
                <w:sz w:val="24"/>
                <w:szCs w:val="24"/>
              </w:rPr>
              <w:t>商品展示</w:t>
            </w:r>
          </w:p>
        </w:tc>
        <w:tc>
          <w:tcPr>
            <w:tcW w:w="3179" w:type="pct"/>
            <w:tcBorders>
              <w:top w:val="nil"/>
              <w:left w:val="nil"/>
              <w:bottom w:val="single" w:color="auto" w:sz="4" w:space="0"/>
              <w:right w:val="single" w:color="auto" w:sz="4" w:space="0"/>
            </w:tcBorders>
            <w:shd w:val="clear" w:color="auto" w:fill="auto"/>
            <w:vAlign w:val="center"/>
          </w:tcPr>
          <w:p w14:paraId="08039E2A">
            <w:pPr>
              <w:rPr>
                <w:rFonts w:hint="eastAsia" w:ascii="宋体" w:hAnsi="宋体" w:eastAsia="宋体" w:cs="宋体"/>
                <w:sz w:val="24"/>
                <w:szCs w:val="24"/>
              </w:rPr>
            </w:pPr>
            <w:r>
              <w:rPr>
                <w:rFonts w:hint="eastAsia" w:ascii="宋体" w:hAnsi="宋体" w:eastAsia="宋体" w:cs="宋体"/>
                <w:sz w:val="24"/>
                <w:szCs w:val="24"/>
              </w:rPr>
              <w:t>售货机设备应支持顾客能够直观看到售卖的商品，让其自主选择、自由购买</w:t>
            </w:r>
          </w:p>
        </w:tc>
      </w:tr>
      <w:tr w14:paraId="62AEECAF">
        <w:tblPrEx>
          <w:tblCellMar>
            <w:top w:w="0" w:type="dxa"/>
            <w:left w:w="108" w:type="dxa"/>
            <w:bottom w:w="0" w:type="dxa"/>
            <w:right w:w="108" w:type="dxa"/>
          </w:tblCellMar>
        </w:tblPrEx>
        <w:trPr>
          <w:trHeight w:val="112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5C262957">
            <w:pPr>
              <w:rPr>
                <w:rFonts w:hint="eastAsia" w:ascii="宋体" w:hAnsi="宋体" w:eastAsia="宋体" w:cs="宋体"/>
                <w:sz w:val="24"/>
                <w:szCs w:val="24"/>
              </w:rPr>
            </w:pPr>
            <w:r>
              <w:rPr>
                <w:rFonts w:hint="eastAsia" w:ascii="宋体" w:hAnsi="宋体" w:eastAsia="宋体" w:cs="宋体"/>
                <w:sz w:val="24"/>
                <w:szCs w:val="24"/>
              </w:rPr>
              <w:t>15、</w:t>
            </w:r>
          </w:p>
        </w:tc>
        <w:tc>
          <w:tcPr>
            <w:tcW w:w="1365" w:type="pct"/>
            <w:tcBorders>
              <w:top w:val="nil"/>
              <w:left w:val="nil"/>
              <w:bottom w:val="single" w:color="auto" w:sz="4" w:space="0"/>
              <w:right w:val="single" w:color="auto" w:sz="4" w:space="0"/>
            </w:tcBorders>
            <w:shd w:val="clear" w:color="auto" w:fill="auto"/>
            <w:vAlign w:val="center"/>
          </w:tcPr>
          <w:p w14:paraId="6A926C27">
            <w:pPr>
              <w:rPr>
                <w:rFonts w:hint="eastAsia" w:ascii="宋体" w:hAnsi="宋体" w:eastAsia="宋体" w:cs="宋体"/>
                <w:sz w:val="24"/>
                <w:szCs w:val="24"/>
              </w:rPr>
            </w:pPr>
            <w:r>
              <w:rPr>
                <w:rFonts w:hint="eastAsia" w:ascii="宋体" w:hAnsi="宋体" w:eastAsia="宋体" w:cs="宋体"/>
                <w:sz w:val="24"/>
                <w:szCs w:val="24"/>
              </w:rPr>
              <w:t>货道数量</w:t>
            </w:r>
          </w:p>
        </w:tc>
        <w:tc>
          <w:tcPr>
            <w:tcW w:w="3179" w:type="pct"/>
            <w:tcBorders>
              <w:top w:val="nil"/>
              <w:left w:val="nil"/>
              <w:bottom w:val="single" w:color="auto" w:sz="4" w:space="0"/>
              <w:right w:val="single" w:color="auto" w:sz="4" w:space="0"/>
            </w:tcBorders>
            <w:shd w:val="clear" w:color="auto" w:fill="auto"/>
            <w:vAlign w:val="center"/>
          </w:tcPr>
          <w:p w14:paraId="63747FBA">
            <w:pPr>
              <w:rPr>
                <w:rFonts w:hint="eastAsia" w:ascii="宋体" w:hAnsi="宋体" w:eastAsia="宋体" w:cs="宋体"/>
                <w:sz w:val="24"/>
                <w:szCs w:val="24"/>
              </w:rPr>
            </w:pPr>
            <w:r>
              <w:rPr>
                <w:rFonts w:hint="eastAsia" w:ascii="宋体" w:hAnsi="宋体" w:eastAsia="宋体" w:cs="宋体"/>
                <w:sz w:val="24"/>
                <w:szCs w:val="24"/>
              </w:rPr>
              <w:t>售货机应支持售卖各种类型的产品（含易脆、不规则、大尺寸等）售卖，同一台格子售货机设备支持不少于三种（含）规格大中小格子货道。</w:t>
            </w:r>
          </w:p>
        </w:tc>
      </w:tr>
      <w:bookmarkEnd w:id="2"/>
    </w:tbl>
    <w:p w14:paraId="0355343F">
      <w:pPr>
        <w:rPr>
          <w:rFonts w:hint="eastAsia" w:ascii="宋体" w:hAnsi="宋体" w:eastAsia="宋体" w:cs="宋体"/>
          <w:sz w:val="24"/>
          <w:szCs w:val="24"/>
        </w:rPr>
      </w:pPr>
      <w:r>
        <w:rPr>
          <w:rFonts w:hint="eastAsia" w:ascii="宋体" w:hAnsi="宋体" w:eastAsia="宋体" w:cs="宋体"/>
          <w:sz w:val="24"/>
          <w:szCs w:val="24"/>
        </w:rPr>
        <w:t xml:space="preserve">     供应商使用售货机设备必须满足上述要求。</w:t>
      </w:r>
    </w:p>
    <w:bookmarkEnd w:id="1"/>
    <w:p w14:paraId="3838AF15">
      <w:pPr>
        <w:pStyle w:val="5"/>
        <w:numPr>
          <w:ilvl w:val="0"/>
          <w:numId w:val="1"/>
        </w:numPr>
        <w:ind w:firstLineChars="0"/>
        <w:rPr>
          <w:rFonts w:hint="eastAsia" w:ascii="宋体" w:hAnsi="宋体" w:eastAsia="宋体" w:cs="宋体"/>
          <w:sz w:val="24"/>
          <w:szCs w:val="24"/>
        </w:rPr>
      </w:pPr>
      <w:bookmarkStart w:id="3" w:name="_Hlk164370012"/>
      <w:r>
        <w:rPr>
          <w:rFonts w:hint="eastAsia" w:ascii="宋体" w:hAnsi="宋体" w:eastAsia="宋体" w:cs="宋体"/>
          <w:sz w:val="24"/>
          <w:szCs w:val="24"/>
        </w:rPr>
        <w:t>合作服务要求</w:t>
      </w:r>
      <w:bookmarkEnd w:id="3"/>
      <w:r>
        <w:rPr>
          <w:rFonts w:hint="eastAsia" w:ascii="宋体" w:hAnsi="宋体" w:eastAsia="宋体" w:cs="宋体"/>
          <w:sz w:val="24"/>
          <w:szCs w:val="24"/>
        </w:rPr>
        <w:t>：</w:t>
      </w:r>
    </w:p>
    <w:p w14:paraId="400C06A3">
      <w:pPr>
        <w:rPr>
          <w:rFonts w:hint="eastAsia" w:ascii="宋体" w:hAnsi="宋体" w:eastAsia="宋体" w:cs="宋体"/>
          <w:sz w:val="24"/>
          <w:szCs w:val="24"/>
        </w:rPr>
      </w:pPr>
      <w:r>
        <w:rPr>
          <w:rFonts w:hint="eastAsia" w:ascii="宋体" w:hAnsi="宋体" w:eastAsia="宋体" w:cs="宋体"/>
          <w:sz w:val="24"/>
          <w:szCs w:val="24"/>
        </w:rPr>
        <w:t>1）.供应商根据国家标准、行业标准和规范要求、磋商文件规定的服务质量标准和有关要求及响应文件所作的承诺，积极主动保质保量地完成服务工作。</w:t>
      </w:r>
    </w:p>
    <w:p w14:paraId="3FE1EF8E">
      <w:pPr>
        <w:rPr>
          <w:rFonts w:hint="eastAsia" w:ascii="宋体" w:hAnsi="宋体" w:eastAsia="宋体" w:cs="宋体"/>
          <w:sz w:val="24"/>
          <w:szCs w:val="24"/>
        </w:rPr>
      </w:pPr>
      <w:r>
        <w:rPr>
          <w:rFonts w:hint="eastAsia" w:ascii="宋体" w:hAnsi="宋体" w:eastAsia="宋体" w:cs="宋体"/>
          <w:sz w:val="24"/>
          <w:szCs w:val="24"/>
        </w:rPr>
        <w:t>2）.供应商负责解决与本项目有关的一切技术问题。</w:t>
      </w:r>
    </w:p>
    <w:p w14:paraId="6D4A78F1">
      <w:pPr>
        <w:rPr>
          <w:rFonts w:hint="eastAsia" w:ascii="宋体" w:hAnsi="宋体" w:eastAsia="宋体" w:cs="宋体"/>
          <w:sz w:val="24"/>
          <w:szCs w:val="24"/>
        </w:rPr>
      </w:pPr>
      <w:r>
        <w:rPr>
          <w:rFonts w:hint="eastAsia" w:ascii="宋体" w:hAnsi="宋体" w:eastAsia="宋体" w:cs="宋体"/>
          <w:sz w:val="24"/>
          <w:szCs w:val="24"/>
        </w:rPr>
        <w:t>3）.</w:t>
      </w:r>
      <w:r>
        <w:rPr>
          <w:rFonts w:hint="eastAsia" w:cs="宋体"/>
          <w:sz w:val="24"/>
          <w:szCs w:val="24"/>
          <w:lang w:val="en-US" w:eastAsia="zh-CN"/>
        </w:rPr>
        <w:t>供应商上架商品须经招标方审核后方可上架，</w:t>
      </w:r>
      <w:r>
        <w:rPr>
          <w:rFonts w:hint="eastAsia" w:ascii="宋体" w:hAnsi="宋体" w:eastAsia="宋体" w:cs="宋体"/>
          <w:sz w:val="24"/>
          <w:szCs w:val="24"/>
        </w:rPr>
        <w:t>因供应商货物原因造成的安全、质量等责任事故及经济损失，由供应商负全部责任。</w:t>
      </w:r>
    </w:p>
    <w:p w14:paraId="4682C9B2">
      <w:pPr>
        <w:rPr>
          <w:rFonts w:hint="eastAsia" w:ascii="宋体" w:hAnsi="宋体" w:eastAsia="宋体" w:cs="宋体"/>
          <w:sz w:val="24"/>
          <w:szCs w:val="24"/>
        </w:rPr>
      </w:pPr>
      <w:r>
        <w:rPr>
          <w:rFonts w:hint="eastAsia" w:ascii="宋体" w:hAnsi="宋体" w:eastAsia="宋体" w:cs="宋体"/>
          <w:sz w:val="24"/>
          <w:szCs w:val="24"/>
        </w:rPr>
        <w:t>4）.供应商应配备具有相应资质、特定经验的工作人员负责项目实施，按照合同约定的标准、要求和时间完成项目。</w:t>
      </w:r>
    </w:p>
    <w:p w14:paraId="0FBBEE64">
      <w:pPr>
        <w:rPr>
          <w:rFonts w:hint="eastAsia" w:ascii="宋体" w:hAnsi="宋体" w:eastAsia="宋体" w:cs="宋体"/>
          <w:sz w:val="24"/>
          <w:szCs w:val="24"/>
        </w:rPr>
      </w:pPr>
      <w:r>
        <w:rPr>
          <w:rFonts w:hint="eastAsia" w:ascii="宋体" w:hAnsi="宋体" w:eastAsia="宋体" w:cs="宋体"/>
          <w:sz w:val="24"/>
          <w:szCs w:val="24"/>
        </w:rPr>
        <w:t>5）.对服务范围之外的突击性、突发性工作，供应商须服从甲方的安排，不得无故拖延。</w:t>
      </w:r>
    </w:p>
    <w:p w14:paraId="398B280A">
      <w:pPr>
        <w:rPr>
          <w:rFonts w:hint="eastAsia" w:ascii="宋体" w:hAnsi="宋体" w:eastAsia="宋体" w:cs="宋体"/>
          <w:sz w:val="24"/>
          <w:szCs w:val="24"/>
        </w:rPr>
      </w:pPr>
      <w:r>
        <w:rPr>
          <w:rFonts w:hint="eastAsia" w:ascii="宋体" w:hAnsi="宋体" w:eastAsia="宋体" w:cs="宋体"/>
          <w:sz w:val="24"/>
          <w:szCs w:val="24"/>
        </w:rPr>
        <w:t>6）.对因供应商管理不善而损坏的硬件设施，供应商应负责及时修复，或照价赔偿。</w:t>
      </w:r>
    </w:p>
    <w:p w14:paraId="60D49FC6">
      <w:pPr>
        <w:rPr>
          <w:rFonts w:hint="eastAsia" w:ascii="宋体" w:hAnsi="宋体" w:eastAsia="宋体" w:cs="宋体"/>
          <w:sz w:val="24"/>
          <w:szCs w:val="24"/>
        </w:rPr>
      </w:pPr>
      <w:r>
        <w:rPr>
          <w:rFonts w:hint="eastAsia" w:ascii="宋体" w:hAnsi="宋体" w:eastAsia="宋体" w:cs="宋体"/>
          <w:sz w:val="24"/>
          <w:szCs w:val="24"/>
        </w:rPr>
        <w:t>7）.供应商负责各项设备的日常营运管理。上述设备的产权及运营中的收益归属于供应商。供应商应确保设备的正常运行，并负责设备补货、清洁及维修工作。供应商所提供设备应符合相关国家标准和行业标准。</w:t>
      </w:r>
    </w:p>
    <w:p w14:paraId="5762A25F">
      <w:pPr>
        <w:rPr>
          <w:rFonts w:hint="eastAsia" w:ascii="宋体" w:hAnsi="宋体" w:eastAsia="宋体" w:cs="宋体"/>
          <w:sz w:val="24"/>
          <w:szCs w:val="24"/>
        </w:rPr>
      </w:pPr>
      <w:r>
        <w:rPr>
          <w:rFonts w:hint="eastAsia" w:ascii="宋体" w:hAnsi="宋体" w:eastAsia="宋体" w:cs="宋体"/>
          <w:sz w:val="24"/>
          <w:szCs w:val="24"/>
        </w:rPr>
        <w:t>8）.供应商应保证所提供的货物或其任何一部分均不会侵犯任何第三方的知识产权，如若出现侵权行为，由供应商付全部责任，甲方不因此承担任何的法律责任。</w:t>
      </w:r>
    </w:p>
    <w:p w14:paraId="6060C9E7">
      <w:pPr>
        <w:rPr>
          <w:rFonts w:hint="eastAsia" w:ascii="宋体" w:hAnsi="宋体" w:eastAsia="宋体" w:cs="宋体"/>
          <w:sz w:val="24"/>
          <w:szCs w:val="24"/>
        </w:rPr>
      </w:pPr>
      <w:r>
        <w:rPr>
          <w:rFonts w:hint="eastAsia" w:ascii="宋体" w:hAnsi="宋体" w:eastAsia="宋体" w:cs="宋体"/>
          <w:sz w:val="24"/>
          <w:szCs w:val="24"/>
        </w:rPr>
        <w:t>9）.运输、安装过程中的货物毁损及发生的安全事故由供应商承担相关责任。</w:t>
      </w:r>
    </w:p>
    <w:p w14:paraId="52A80DFC">
      <w:pPr>
        <w:rPr>
          <w:rFonts w:hint="eastAsia" w:ascii="宋体" w:hAnsi="宋体" w:eastAsia="宋体" w:cs="宋体"/>
          <w:sz w:val="24"/>
          <w:szCs w:val="24"/>
        </w:rPr>
      </w:pPr>
      <w:r>
        <w:rPr>
          <w:rFonts w:hint="eastAsia" w:ascii="宋体" w:hAnsi="宋体" w:eastAsia="宋体" w:cs="宋体"/>
          <w:sz w:val="24"/>
          <w:szCs w:val="24"/>
        </w:rPr>
        <w:t>10）.提供24小时服务电话，及时处理用户的投诉。</w:t>
      </w:r>
    </w:p>
    <w:p w14:paraId="6BAB1C4F">
      <w:pPr>
        <w:rPr>
          <w:rFonts w:hint="eastAsia" w:ascii="宋体" w:hAnsi="宋体" w:eastAsia="宋体" w:cs="宋体"/>
          <w:b/>
          <w:bCs/>
          <w:sz w:val="24"/>
          <w:szCs w:val="24"/>
        </w:rPr>
      </w:pPr>
    </w:p>
    <w:p w14:paraId="1B8CA908">
      <w:pPr>
        <w:rPr>
          <w:rFonts w:hint="eastAsia" w:ascii="宋体" w:hAnsi="宋体" w:eastAsia="宋体" w:cs="宋体"/>
          <w:b/>
          <w:bCs/>
          <w:sz w:val="24"/>
          <w:szCs w:val="24"/>
          <w:lang w:val="hr-HR"/>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hr-HR"/>
        </w:rPr>
        <w:t>、</w:t>
      </w:r>
      <w:r>
        <w:rPr>
          <w:rFonts w:hint="eastAsia" w:ascii="宋体" w:hAnsi="宋体" w:eastAsia="宋体" w:cs="宋体"/>
          <w:b/>
          <w:bCs/>
          <w:sz w:val="24"/>
          <w:szCs w:val="24"/>
        </w:rPr>
        <w:t>管理费用</w:t>
      </w:r>
      <w:r>
        <w:rPr>
          <w:rFonts w:hint="eastAsia" w:ascii="宋体" w:hAnsi="宋体" w:eastAsia="宋体" w:cs="宋体"/>
          <w:b/>
          <w:bCs/>
          <w:sz w:val="24"/>
          <w:szCs w:val="24"/>
          <w:lang w:val="hr-HR"/>
        </w:rPr>
        <w:t>支付方式：</w:t>
      </w:r>
    </w:p>
    <w:p w14:paraId="7FE6844B">
      <w:pPr>
        <w:rPr>
          <w:rFonts w:hint="eastAsia" w:ascii="宋体" w:hAnsi="宋体" w:eastAsia="宋体" w:cs="宋体"/>
          <w:sz w:val="24"/>
          <w:szCs w:val="24"/>
          <w:lang w:val="hr-HR" w:eastAsia="zh-CN"/>
        </w:rPr>
      </w:pPr>
      <w:r>
        <w:rPr>
          <w:rFonts w:hint="eastAsia" w:ascii="宋体" w:hAnsi="宋体" w:eastAsia="宋体" w:cs="宋体"/>
          <w:sz w:val="24"/>
          <w:szCs w:val="24"/>
          <w:lang w:val="hr-HR"/>
        </w:rPr>
        <w:t>供应商每</w:t>
      </w:r>
      <w:r>
        <w:rPr>
          <w:rFonts w:hint="eastAsia" w:ascii="宋体" w:hAnsi="宋体" w:eastAsia="宋体" w:cs="宋体"/>
          <w:sz w:val="24"/>
          <w:szCs w:val="24"/>
        </w:rPr>
        <w:t>月</w:t>
      </w:r>
      <w:r>
        <w:rPr>
          <w:rFonts w:hint="eastAsia" w:ascii="宋体" w:hAnsi="宋体" w:eastAsia="宋体" w:cs="宋体"/>
          <w:sz w:val="24"/>
          <w:szCs w:val="24"/>
          <w:lang w:val="hr-HR"/>
        </w:rPr>
        <w:t>向招标</w:t>
      </w:r>
      <w:r>
        <w:rPr>
          <w:rFonts w:hint="eastAsia" w:cs="宋体"/>
          <w:sz w:val="24"/>
          <w:szCs w:val="24"/>
          <w:lang w:val="en-US" w:eastAsia="zh-CN"/>
        </w:rPr>
        <w:t>方</w:t>
      </w:r>
      <w:r>
        <w:rPr>
          <w:rFonts w:hint="eastAsia" w:ascii="宋体" w:hAnsi="宋体" w:eastAsia="宋体" w:cs="宋体"/>
          <w:sz w:val="24"/>
          <w:szCs w:val="24"/>
          <w:lang w:val="hr-HR"/>
        </w:rPr>
        <w:t>支付</w:t>
      </w:r>
      <w:r>
        <w:rPr>
          <w:rFonts w:hint="eastAsia" w:ascii="宋体" w:hAnsi="宋体" w:eastAsia="宋体" w:cs="宋体"/>
          <w:sz w:val="24"/>
          <w:szCs w:val="24"/>
        </w:rPr>
        <w:t>费用</w:t>
      </w:r>
      <w:r>
        <w:rPr>
          <w:rFonts w:hint="eastAsia" w:ascii="宋体" w:hAnsi="宋体" w:eastAsia="宋体" w:cs="宋体"/>
          <w:sz w:val="24"/>
          <w:szCs w:val="24"/>
          <w:lang w:val="hr-HR"/>
        </w:rPr>
        <w:t>，按照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hr-HR"/>
        </w:rPr>
        <w:t>元/点位/月向招</w:t>
      </w:r>
      <w:r>
        <w:rPr>
          <w:rFonts w:hint="eastAsia" w:cs="宋体"/>
          <w:sz w:val="24"/>
          <w:szCs w:val="24"/>
          <w:lang w:val="en-US" w:eastAsia="zh-CN"/>
        </w:rPr>
        <w:t>标</w:t>
      </w:r>
      <w:bookmarkStart w:id="4" w:name="_GoBack"/>
      <w:bookmarkEnd w:id="4"/>
      <w:r>
        <w:rPr>
          <w:rFonts w:hint="eastAsia" w:ascii="宋体" w:hAnsi="宋体" w:eastAsia="宋体" w:cs="宋体"/>
          <w:sz w:val="24"/>
          <w:szCs w:val="24"/>
          <w:lang w:val="hr-HR"/>
        </w:rPr>
        <w:t>方支付</w:t>
      </w:r>
      <w:r>
        <w:rPr>
          <w:rFonts w:hint="eastAsia" w:ascii="宋体" w:hAnsi="宋体" w:eastAsia="宋体" w:cs="宋体"/>
          <w:sz w:val="24"/>
          <w:szCs w:val="24"/>
        </w:rPr>
        <w:t>电费、管理</w:t>
      </w:r>
      <w:r>
        <w:rPr>
          <w:rFonts w:hint="eastAsia" w:ascii="宋体" w:hAnsi="宋体" w:eastAsia="宋体" w:cs="宋体"/>
          <w:sz w:val="24"/>
          <w:szCs w:val="24"/>
          <w:lang w:val="hr-HR"/>
        </w:rPr>
        <w:t>费</w:t>
      </w:r>
      <w:r>
        <w:rPr>
          <w:rFonts w:hint="eastAsia" w:ascii="宋体" w:hAnsi="宋体" w:eastAsia="宋体" w:cs="宋体"/>
          <w:sz w:val="24"/>
          <w:szCs w:val="24"/>
          <w:lang w:val="hr-HR" w:eastAsia="zh-CN"/>
        </w:rPr>
        <w:t>。</w:t>
      </w:r>
    </w:p>
    <w:p w14:paraId="6856E5E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2B62"/>
    <w:rsid w:val="04E972F2"/>
    <w:rsid w:val="1C871329"/>
    <w:rsid w:val="45D93B1E"/>
    <w:rsid w:val="50474F87"/>
    <w:rsid w:val="50EE562C"/>
    <w:rsid w:val="6D0C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color w:val="000000"/>
      <w:kern w:val="0"/>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949</Characters>
  <Lines>0</Lines>
  <Paragraphs>0</Paragraphs>
  <TotalTime>1</TotalTime>
  <ScaleCrop>false</ScaleCrop>
  <LinksUpToDate>false</LinksUpToDate>
  <CharactersWithSpaces>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2022-07-26T08:13:00Z</dcterms:created>
  <dc:creator>Administrator</dc:creator>
  <cp:lastModifiedBy>对方正在输入...</cp:lastModifiedBy>
  <dcterms:modified xsi:type="dcterms:W3CDTF">2024-12-20T07:40:49Z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0A12B42624CD40DCAD5D50AC30D3B9A6</vt:lpwstr>
  </property>
</Properties>
</file>