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FC6F">
      <w:pPr>
        <w:pStyle w:val="12"/>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70DD4432">
      <w:pPr>
        <w:pStyle w:val="12"/>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42BC5468">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1DE1A3C9">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5190AA71">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057D8632">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03103F66">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rPr>
        <w:t>桂林市人民医院监护型救护车采购</w:t>
      </w:r>
      <w:r>
        <w:rPr>
          <w:rFonts w:hint="eastAsia" w:hAnsi="宋体" w:cs="宋体"/>
          <w:b/>
          <w:bCs/>
          <w:sz w:val="48"/>
          <w:szCs w:val="48"/>
          <w:lang w:val="en-US" w:eastAsia="zh-CN"/>
        </w:rPr>
        <w:t>项目</w:t>
      </w:r>
    </w:p>
    <w:p w14:paraId="593EAC42">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48"/>
          <w:szCs w:val="48"/>
        </w:rPr>
      </w:pPr>
    </w:p>
    <w:p w14:paraId="2ADD2F62">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rPr>
      </w:pPr>
      <w:r>
        <w:rPr>
          <w:rFonts w:hint="eastAsia" w:hAnsi="宋体" w:cs="宋体"/>
          <w:b/>
          <w:bCs/>
          <w:sz w:val="48"/>
          <w:szCs w:val="48"/>
          <w:lang w:val="en-US" w:eastAsia="zh-CN"/>
        </w:rPr>
        <w:t>议价</w:t>
      </w:r>
      <w:r>
        <w:rPr>
          <w:rFonts w:hint="eastAsia" w:ascii="宋体" w:hAnsi="宋体" w:eastAsia="宋体" w:cs="宋体"/>
          <w:b/>
          <w:bCs/>
          <w:sz w:val="48"/>
          <w:szCs w:val="48"/>
        </w:rPr>
        <w:t>文件</w:t>
      </w:r>
    </w:p>
    <w:p w14:paraId="13A2C484">
      <w:pPr>
        <w:pStyle w:val="12"/>
        <w:pageBreakBefore w:val="0"/>
        <w:kinsoku/>
        <w:wordWrap/>
        <w:overflowPunct/>
        <w:topLinePunct w:val="0"/>
        <w:bidi w:val="0"/>
        <w:spacing w:line="440" w:lineRule="exact"/>
        <w:jc w:val="center"/>
        <w:textAlignment w:val="auto"/>
        <w:rPr>
          <w:rFonts w:ascii="Arial" w:hAnsi="Arial" w:eastAsia="楷体_GB2312" w:cs="Arial"/>
          <w:b/>
          <w:bCs/>
          <w:sz w:val="24"/>
          <w:szCs w:val="24"/>
        </w:rPr>
      </w:pPr>
    </w:p>
    <w:p w14:paraId="3BE6C3FD">
      <w:pPr>
        <w:pStyle w:val="12"/>
        <w:pageBreakBefore w:val="0"/>
        <w:kinsoku/>
        <w:wordWrap/>
        <w:overflowPunct/>
        <w:topLinePunct w:val="0"/>
        <w:bidi w:val="0"/>
        <w:spacing w:line="440" w:lineRule="exact"/>
        <w:ind w:firstLine="2695"/>
        <w:textAlignment w:val="auto"/>
        <w:rPr>
          <w:rFonts w:ascii="Arial" w:hAnsi="Arial" w:cs="Arial"/>
          <w:sz w:val="24"/>
          <w:szCs w:val="24"/>
        </w:rPr>
      </w:pPr>
    </w:p>
    <w:p w14:paraId="308EA097">
      <w:pPr>
        <w:pStyle w:val="12"/>
        <w:pageBreakBefore w:val="0"/>
        <w:kinsoku/>
        <w:wordWrap/>
        <w:overflowPunct/>
        <w:topLinePunct w:val="0"/>
        <w:bidi w:val="0"/>
        <w:spacing w:line="440" w:lineRule="exact"/>
        <w:ind w:firstLine="2695"/>
        <w:textAlignment w:val="auto"/>
        <w:rPr>
          <w:rFonts w:ascii="Arial" w:hAnsi="Arial" w:cs="Arial"/>
          <w:sz w:val="28"/>
        </w:rPr>
      </w:pPr>
      <w:r>
        <w:rPr>
          <w:rFonts w:ascii="Arial" w:hAnsi="Arial" w:cs="Arial"/>
          <w:sz w:val="28"/>
        </w:rPr>
        <w:cr/>
      </w:r>
    </w:p>
    <w:p w14:paraId="52E65236">
      <w:pPr>
        <w:pStyle w:val="12"/>
        <w:pageBreakBefore w:val="0"/>
        <w:kinsoku/>
        <w:wordWrap/>
        <w:overflowPunct/>
        <w:topLinePunct w:val="0"/>
        <w:bidi w:val="0"/>
        <w:spacing w:line="440" w:lineRule="exact"/>
        <w:ind w:firstLine="2695"/>
        <w:textAlignment w:val="auto"/>
        <w:rPr>
          <w:rFonts w:ascii="Arial" w:hAnsi="Arial" w:cs="Arial"/>
          <w:sz w:val="28"/>
        </w:rPr>
      </w:pPr>
    </w:p>
    <w:p w14:paraId="5A07BB12">
      <w:pPr>
        <w:pStyle w:val="12"/>
        <w:pageBreakBefore w:val="0"/>
        <w:kinsoku/>
        <w:wordWrap/>
        <w:overflowPunct/>
        <w:topLinePunct w:val="0"/>
        <w:bidi w:val="0"/>
        <w:spacing w:line="440" w:lineRule="exact"/>
        <w:ind w:firstLine="2695"/>
        <w:textAlignment w:val="auto"/>
        <w:rPr>
          <w:rFonts w:ascii="Arial" w:hAnsi="Arial" w:cs="Arial"/>
          <w:sz w:val="28"/>
        </w:rPr>
      </w:pPr>
    </w:p>
    <w:p w14:paraId="62FED25E">
      <w:pPr>
        <w:pStyle w:val="12"/>
        <w:pageBreakBefore w:val="0"/>
        <w:kinsoku/>
        <w:wordWrap/>
        <w:overflowPunct/>
        <w:topLinePunct w:val="0"/>
        <w:bidi w:val="0"/>
        <w:spacing w:line="440" w:lineRule="exact"/>
        <w:ind w:firstLine="2695"/>
        <w:textAlignment w:val="auto"/>
        <w:rPr>
          <w:rFonts w:ascii="Arial" w:hAnsi="Arial" w:cs="Arial"/>
          <w:sz w:val="28"/>
        </w:rPr>
      </w:pPr>
    </w:p>
    <w:p w14:paraId="443AF259">
      <w:pPr>
        <w:pStyle w:val="12"/>
        <w:pageBreakBefore w:val="0"/>
        <w:kinsoku/>
        <w:wordWrap/>
        <w:overflowPunct/>
        <w:topLinePunct w:val="0"/>
        <w:bidi w:val="0"/>
        <w:spacing w:line="440" w:lineRule="exact"/>
        <w:ind w:firstLine="2695"/>
        <w:textAlignment w:val="auto"/>
        <w:rPr>
          <w:rFonts w:ascii="Arial" w:hAnsi="Arial" w:cs="Arial"/>
          <w:sz w:val="28"/>
        </w:rPr>
      </w:pPr>
    </w:p>
    <w:p w14:paraId="66F99C5A">
      <w:pPr>
        <w:pStyle w:val="12"/>
        <w:pageBreakBefore w:val="0"/>
        <w:kinsoku/>
        <w:wordWrap/>
        <w:overflowPunct/>
        <w:topLinePunct w:val="0"/>
        <w:bidi w:val="0"/>
        <w:spacing w:line="440" w:lineRule="exact"/>
        <w:textAlignment w:val="auto"/>
        <w:rPr>
          <w:rFonts w:ascii="Arial" w:hAnsi="Arial" w:cs="Arial"/>
          <w:sz w:val="28"/>
        </w:rPr>
      </w:pPr>
    </w:p>
    <w:p w14:paraId="4CF2AB8E">
      <w:pPr>
        <w:pStyle w:val="12"/>
        <w:pageBreakBefore w:val="0"/>
        <w:kinsoku/>
        <w:wordWrap/>
        <w:overflowPunct/>
        <w:topLinePunct w:val="0"/>
        <w:bidi w:val="0"/>
        <w:spacing w:line="440" w:lineRule="exact"/>
        <w:textAlignment w:val="auto"/>
        <w:rPr>
          <w:rFonts w:ascii="Arial" w:hAnsi="Arial" w:cs="Arial"/>
          <w:sz w:val="28"/>
        </w:rPr>
      </w:pPr>
    </w:p>
    <w:p w14:paraId="39B8F697">
      <w:pPr>
        <w:pStyle w:val="5"/>
        <w:rPr>
          <w:rFonts w:ascii="Arial" w:hAnsi="Arial" w:cs="Arial"/>
          <w:sz w:val="28"/>
        </w:rPr>
      </w:pPr>
    </w:p>
    <w:p w14:paraId="016F8328">
      <w:pPr>
        <w:rPr>
          <w:rFonts w:ascii="Arial" w:hAnsi="Arial" w:cs="Arial"/>
          <w:sz w:val="28"/>
        </w:rPr>
      </w:pPr>
    </w:p>
    <w:p w14:paraId="0373A16F">
      <w:pPr>
        <w:rPr>
          <w:rFonts w:ascii="Arial" w:hAnsi="Arial" w:cs="Arial"/>
          <w:sz w:val="28"/>
        </w:rPr>
      </w:pPr>
    </w:p>
    <w:p w14:paraId="44E0D235"/>
    <w:p w14:paraId="5A667900">
      <w:pPr>
        <w:rPr>
          <w:rFonts w:ascii="Arial" w:hAnsi="Arial" w:cs="Arial"/>
          <w:sz w:val="28"/>
        </w:rPr>
      </w:pPr>
    </w:p>
    <w:p w14:paraId="4BF9B335">
      <w:pPr>
        <w:pStyle w:val="12"/>
        <w:pageBreakBefore w:val="0"/>
        <w:kinsoku/>
        <w:wordWrap/>
        <w:overflowPunct/>
        <w:topLinePunct w:val="0"/>
        <w:bidi w:val="0"/>
        <w:spacing w:line="440" w:lineRule="exact"/>
        <w:textAlignment w:val="auto"/>
        <w:rPr>
          <w:rFonts w:ascii="Arial" w:hAnsi="Arial" w:cs="Arial"/>
          <w:sz w:val="28"/>
        </w:rPr>
      </w:pPr>
    </w:p>
    <w:p w14:paraId="1136FD6C">
      <w:pPr>
        <w:pStyle w:val="12"/>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202</w:t>
      </w:r>
      <w:r>
        <w:rPr>
          <w:rFonts w:hint="eastAsia" w:hAnsi="宋体" w:cs="宋体"/>
          <w:b/>
          <w:bCs/>
          <w:sz w:val="36"/>
          <w:szCs w:val="36"/>
          <w:highlight w:val="none"/>
          <w:lang w:val="en-US" w:eastAsia="zh-CN"/>
        </w:rPr>
        <w:t>5</w:t>
      </w:r>
      <w:r>
        <w:rPr>
          <w:rFonts w:hint="eastAsia" w:ascii="宋体" w:hAnsi="宋体" w:eastAsia="宋体" w:cs="宋体"/>
          <w:b/>
          <w:bCs/>
          <w:sz w:val="36"/>
          <w:szCs w:val="36"/>
          <w:highlight w:val="none"/>
        </w:rPr>
        <w:t>年</w:t>
      </w:r>
      <w:r>
        <w:rPr>
          <w:rFonts w:hint="eastAsia" w:hAnsi="宋体" w:cs="宋体"/>
          <w:b/>
          <w:bCs/>
          <w:sz w:val="36"/>
          <w:szCs w:val="36"/>
          <w:highlight w:val="none"/>
          <w:lang w:val="en-US" w:eastAsia="zh-CN"/>
        </w:rPr>
        <w:t>2</w:t>
      </w:r>
      <w:r>
        <w:rPr>
          <w:rFonts w:hint="eastAsia" w:ascii="宋体" w:hAnsi="宋体" w:eastAsia="宋体" w:cs="宋体"/>
          <w:b/>
          <w:bCs/>
          <w:sz w:val="36"/>
          <w:szCs w:val="36"/>
          <w:highlight w:val="none"/>
          <w:lang w:val="en-US" w:eastAsia="zh-CN"/>
        </w:rPr>
        <w:t>月</w:t>
      </w:r>
      <w:r>
        <w:rPr>
          <w:rFonts w:hint="eastAsia" w:hAnsi="宋体" w:cs="宋体"/>
          <w:b/>
          <w:bCs/>
          <w:sz w:val="36"/>
          <w:szCs w:val="36"/>
          <w:highlight w:val="none"/>
          <w:lang w:val="en-US" w:eastAsia="zh-CN"/>
        </w:rPr>
        <w:t>25</w:t>
      </w:r>
      <w:r>
        <w:rPr>
          <w:rFonts w:hint="eastAsia" w:ascii="宋体" w:hAnsi="宋体" w:eastAsia="宋体" w:cs="宋体"/>
          <w:b/>
          <w:bCs/>
          <w:sz w:val="36"/>
          <w:szCs w:val="36"/>
          <w:highlight w:val="none"/>
          <w:lang w:val="en-US" w:eastAsia="zh-CN"/>
        </w:rPr>
        <w:t>日</w:t>
      </w:r>
    </w:p>
    <w:p w14:paraId="401C2573">
      <w:pPr>
        <w:pStyle w:val="12"/>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5FC0E7D1">
      <w:pPr>
        <w:pStyle w:val="12"/>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24CD261B">
      <w:pPr>
        <w:pStyle w:val="12"/>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334F9C2E">
      <w:pPr>
        <w:pStyle w:val="30"/>
        <w:pageBreakBefore w:val="0"/>
        <w:kinsoku/>
        <w:wordWrap/>
        <w:overflowPunct/>
        <w:topLinePunct w:val="0"/>
        <w:bidi w:val="0"/>
        <w:spacing w:before="0" w:after="0" w:line="440" w:lineRule="exact"/>
        <w:ind w:left="0" w:leftChars="0" w:firstLine="0" w:firstLineChars="0"/>
        <w:jc w:val="center"/>
        <w:textAlignment w:val="auto"/>
        <w:rPr>
          <w:rFonts w:ascii="Arial" w:hAnsi="宋体" w:eastAsia="宋体" w:cs="Arial"/>
          <w:b/>
          <w:bCs/>
          <w:color w:val="auto"/>
          <w:sz w:val="44"/>
          <w:szCs w:val="44"/>
          <w:lang w:val="zh-CN"/>
        </w:rPr>
      </w:pPr>
      <w:r>
        <w:rPr>
          <w:rFonts w:ascii="Arial" w:hAnsi="宋体" w:eastAsia="宋体" w:cs="Arial"/>
          <w:b/>
          <w:bCs/>
          <w:color w:val="auto"/>
          <w:sz w:val="44"/>
          <w:szCs w:val="44"/>
          <w:lang w:val="zh-CN"/>
        </w:rPr>
        <w:t>目</w:t>
      </w:r>
      <w:r>
        <w:rPr>
          <w:rFonts w:hint="eastAsia" w:ascii="Arial" w:hAnsi="宋体" w:eastAsia="宋体" w:cs="Arial"/>
          <w:b/>
          <w:bCs/>
          <w:color w:val="auto"/>
          <w:sz w:val="44"/>
          <w:szCs w:val="44"/>
          <w:lang w:val="zh-CN" w:eastAsia="zh-CN"/>
        </w:rPr>
        <w:t xml:space="preserve"> </w:t>
      </w:r>
      <w:r>
        <w:rPr>
          <w:rFonts w:hint="eastAsia" w:ascii="Arial" w:hAnsi="宋体" w:eastAsia="宋体" w:cs="Arial"/>
          <w:b/>
          <w:bCs/>
          <w:color w:val="auto"/>
          <w:sz w:val="44"/>
          <w:szCs w:val="44"/>
          <w:lang w:val="en-US" w:eastAsia="zh-CN"/>
        </w:rPr>
        <w:t xml:space="preserve">  </w:t>
      </w:r>
      <w:r>
        <w:rPr>
          <w:rFonts w:ascii="Arial" w:hAnsi="宋体" w:eastAsia="宋体" w:cs="Arial"/>
          <w:b/>
          <w:bCs/>
          <w:color w:val="auto"/>
          <w:sz w:val="44"/>
          <w:szCs w:val="44"/>
          <w:lang w:val="zh-CN"/>
        </w:rPr>
        <w:t>录</w:t>
      </w:r>
    </w:p>
    <w:p w14:paraId="1E225C18">
      <w:pPr>
        <w:pageBreakBefore w:val="0"/>
        <w:kinsoku/>
        <w:wordWrap/>
        <w:overflowPunct/>
        <w:topLinePunct w:val="0"/>
        <w:bidi w:val="0"/>
        <w:spacing w:line="440" w:lineRule="exact"/>
        <w:textAlignment w:val="auto"/>
      </w:pPr>
    </w:p>
    <w:p w14:paraId="53528EB9">
      <w:pPr>
        <w:pStyle w:val="11"/>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ascii="Arial" w:hAnsi="Arial" w:cs="Arial"/>
          <w:color w:val="0000FF"/>
          <w:sz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rPr>
          <w:rFonts w:ascii="Arial" w:hAnsi="Arial" w:cs="Arial"/>
          <w:color w:val="0000FF"/>
          <w:sz w:val="24"/>
        </w:rPr>
        <w:fldChar w:fldCharType="begin"/>
      </w:r>
      <w:r>
        <w:rPr>
          <w:rStyle w:val="24"/>
          <w:rFonts w:ascii="Arial" w:hAnsi="Arial" w:cs="Arial"/>
          <w:color w:val="0000FF"/>
          <w:sz w:val="24"/>
        </w:rPr>
        <w:instrText xml:space="preserve"> </w:instrText>
      </w:r>
      <w:r>
        <w:rPr>
          <w:rFonts w:ascii="Arial" w:hAnsi="Arial" w:cs="Arial"/>
          <w:color w:val="0000FF"/>
          <w:sz w:val="24"/>
        </w:rPr>
        <w:instrText xml:space="preserve">HYPERLINK \l "_Toc33820534"</w:instrText>
      </w:r>
      <w:r>
        <w:rPr>
          <w:rStyle w:val="24"/>
          <w:rFonts w:ascii="Arial" w:hAnsi="Arial" w:cs="Arial"/>
          <w:color w:val="0000FF"/>
          <w:sz w:val="24"/>
        </w:rPr>
        <w:instrText xml:space="preserve"> </w:instrText>
      </w:r>
      <w:r>
        <w:rPr>
          <w:rFonts w:ascii="Arial" w:hAnsi="Arial" w:cs="Arial"/>
          <w:color w:val="0000FF"/>
          <w:sz w:val="24"/>
        </w:rPr>
        <w:fldChar w:fldCharType="separate"/>
      </w:r>
      <w:r>
        <w:rPr>
          <w:rStyle w:val="24"/>
          <w:rFonts w:ascii="Arial" w:cs="Arial"/>
          <w:color w:val="0000FF"/>
          <w:sz w:val="24"/>
        </w:rPr>
        <w:t>第一章</w:t>
      </w:r>
      <w:r>
        <w:rPr>
          <w:rStyle w:val="24"/>
          <w:rFonts w:ascii="Arial" w:hAnsi="Arial" w:cs="Arial"/>
          <w:color w:val="0000FF"/>
          <w:sz w:val="24"/>
        </w:rPr>
        <w:t xml:space="preserve">  </w:t>
      </w:r>
      <w:r>
        <w:rPr>
          <w:rStyle w:val="24"/>
          <w:rFonts w:hint="eastAsia" w:ascii="Arial" w:cs="Arial"/>
          <w:color w:val="0000FF"/>
          <w:sz w:val="24"/>
          <w:lang w:val="en-US" w:eastAsia="zh-CN"/>
        </w:rPr>
        <w:t>议价</w:t>
      </w:r>
      <w:r>
        <w:rPr>
          <w:rStyle w:val="24"/>
          <w:rFonts w:ascii="Arial" w:cs="Arial"/>
          <w:color w:val="0000FF"/>
          <w:sz w:val="24"/>
        </w:rPr>
        <w:t>公告</w:t>
      </w:r>
      <w:r>
        <w:rPr>
          <w:rFonts w:ascii="Arial" w:hAnsi="Arial" w:cs="Arial"/>
          <w:color w:val="0000FF"/>
          <w:sz w:val="24"/>
        </w:rPr>
        <w:tab/>
      </w:r>
      <w:r>
        <w:rPr>
          <w:rFonts w:hint="eastAsia" w:ascii="Arial" w:hAnsi="Arial" w:cs="Arial"/>
          <w:color w:val="0000FF"/>
          <w:sz w:val="24"/>
          <w:lang w:val="en-US" w:eastAsia="zh-CN"/>
        </w:rPr>
        <w:t>3</w:t>
      </w:r>
      <w:r>
        <w:rPr>
          <w:rFonts w:ascii="Arial" w:hAnsi="Arial" w:cs="Arial"/>
          <w:color w:val="0000FF"/>
          <w:sz w:val="24"/>
        </w:rPr>
        <w:fldChar w:fldCharType="end"/>
      </w:r>
    </w:p>
    <w:p w14:paraId="4D124958">
      <w:pPr>
        <w:pStyle w:val="11"/>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eastAsia" w:eastAsia="宋体"/>
          <w:color w:val="0000FF"/>
          <w:lang w:val="en-US" w:eastAsia="zh-CN"/>
        </w:rPr>
      </w:pPr>
      <w:r>
        <w:rPr>
          <w:rFonts w:ascii="Arial" w:hAnsi="Arial" w:cs="Arial"/>
          <w:color w:val="0000FF"/>
          <w:sz w:val="24"/>
        </w:rPr>
        <w:fldChar w:fldCharType="begin"/>
      </w:r>
      <w:r>
        <w:rPr>
          <w:rStyle w:val="24"/>
          <w:rFonts w:ascii="Arial" w:hAnsi="Arial" w:cs="Arial"/>
          <w:color w:val="0000FF"/>
          <w:sz w:val="24"/>
        </w:rPr>
        <w:instrText xml:space="preserve"> </w:instrText>
      </w:r>
      <w:r>
        <w:rPr>
          <w:rFonts w:ascii="Arial" w:hAnsi="Arial" w:cs="Arial"/>
          <w:color w:val="0000FF"/>
          <w:sz w:val="24"/>
        </w:rPr>
        <w:instrText xml:space="preserve">HYPERLINK \l "_Toc33820536"</w:instrText>
      </w:r>
      <w:r>
        <w:rPr>
          <w:rStyle w:val="24"/>
          <w:rFonts w:ascii="Arial" w:hAnsi="Arial" w:cs="Arial"/>
          <w:color w:val="0000FF"/>
          <w:sz w:val="24"/>
        </w:rPr>
        <w:instrText xml:space="preserve"> </w:instrText>
      </w:r>
      <w:r>
        <w:rPr>
          <w:rFonts w:ascii="Arial" w:hAnsi="Arial" w:cs="Arial"/>
          <w:color w:val="0000FF"/>
          <w:sz w:val="24"/>
        </w:rPr>
        <w:fldChar w:fldCharType="separate"/>
      </w:r>
      <w:r>
        <w:rPr>
          <w:rStyle w:val="24"/>
          <w:rFonts w:ascii="Arial" w:cs="Arial"/>
          <w:color w:val="0000FF"/>
          <w:sz w:val="24"/>
        </w:rPr>
        <w:t>第</w:t>
      </w:r>
      <w:r>
        <w:rPr>
          <w:rStyle w:val="24"/>
          <w:rFonts w:hint="eastAsia" w:ascii="Arial" w:cs="Arial"/>
          <w:color w:val="0000FF"/>
          <w:sz w:val="24"/>
          <w:lang w:val="en-US" w:eastAsia="zh-CN"/>
        </w:rPr>
        <w:t>二</w:t>
      </w:r>
      <w:r>
        <w:rPr>
          <w:rStyle w:val="24"/>
          <w:rFonts w:ascii="Arial" w:cs="Arial"/>
          <w:color w:val="0000FF"/>
          <w:sz w:val="24"/>
        </w:rPr>
        <w:t>章</w:t>
      </w:r>
      <w:r>
        <w:rPr>
          <w:rStyle w:val="24"/>
          <w:rFonts w:ascii="Arial" w:hAnsi="Arial" w:cs="Arial"/>
          <w:color w:val="0000FF"/>
          <w:sz w:val="24"/>
        </w:rPr>
        <w:t xml:space="preserve">  </w:t>
      </w:r>
      <w:r>
        <w:rPr>
          <w:rStyle w:val="24"/>
          <w:rFonts w:ascii="Arial" w:cs="Arial"/>
          <w:color w:val="0000FF"/>
          <w:sz w:val="24"/>
        </w:rPr>
        <w:t>项目需求和说明</w:t>
      </w:r>
      <w:r>
        <w:rPr>
          <w:rFonts w:ascii="Arial" w:hAnsi="Arial" w:cs="Arial"/>
          <w:color w:val="0000FF"/>
          <w:sz w:val="24"/>
        </w:rPr>
        <w:tab/>
      </w:r>
      <w:r>
        <w:rPr>
          <w:rFonts w:hint="eastAsia" w:ascii="Arial" w:hAnsi="Arial" w:cs="Arial"/>
          <w:color w:val="0000FF"/>
          <w:sz w:val="24"/>
          <w:lang w:val="en-US" w:eastAsia="zh-CN"/>
        </w:rPr>
        <w:t>5</w:t>
      </w:r>
      <w:r>
        <w:rPr>
          <w:rFonts w:ascii="Arial" w:hAnsi="Arial" w:cs="Arial"/>
          <w:color w:val="0000FF"/>
          <w:sz w:val="24"/>
        </w:rPr>
        <w:fldChar w:fldCharType="end"/>
      </w:r>
    </w:p>
    <w:p w14:paraId="11CA3E2F">
      <w:pPr>
        <w:pStyle w:val="11"/>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eastAsia" w:ascii="Arial" w:hAnsi="Arial" w:eastAsia="宋体" w:cs="Arial"/>
          <w:color w:val="0000FF"/>
          <w:sz w:val="24"/>
          <w:lang w:val="en-US" w:eastAsia="zh-CN"/>
        </w:rPr>
      </w:pPr>
      <w:r>
        <w:rPr>
          <w:rFonts w:ascii="Arial" w:hAnsi="Arial" w:cs="Arial"/>
          <w:color w:val="0000FF"/>
          <w:sz w:val="24"/>
        </w:rPr>
        <w:fldChar w:fldCharType="begin"/>
      </w:r>
      <w:r>
        <w:rPr>
          <w:rStyle w:val="24"/>
          <w:rFonts w:ascii="Arial" w:hAnsi="Arial" w:cs="Arial"/>
          <w:color w:val="0000FF"/>
          <w:sz w:val="24"/>
        </w:rPr>
        <w:instrText xml:space="preserve"> </w:instrText>
      </w:r>
      <w:r>
        <w:rPr>
          <w:rFonts w:ascii="Arial" w:hAnsi="Arial" w:cs="Arial"/>
          <w:color w:val="0000FF"/>
          <w:sz w:val="24"/>
        </w:rPr>
        <w:instrText xml:space="preserve">HYPERLINK \l "_Toc33820536"</w:instrText>
      </w:r>
      <w:r>
        <w:rPr>
          <w:rStyle w:val="24"/>
          <w:rFonts w:ascii="Arial" w:hAnsi="Arial" w:cs="Arial"/>
          <w:color w:val="0000FF"/>
          <w:sz w:val="24"/>
        </w:rPr>
        <w:instrText xml:space="preserve"> </w:instrText>
      </w:r>
      <w:r>
        <w:rPr>
          <w:rFonts w:ascii="Arial" w:hAnsi="Arial" w:cs="Arial"/>
          <w:color w:val="0000FF"/>
          <w:sz w:val="24"/>
        </w:rPr>
        <w:fldChar w:fldCharType="separate"/>
      </w:r>
      <w:r>
        <w:rPr>
          <w:rStyle w:val="24"/>
          <w:rFonts w:ascii="Arial" w:cs="Arial"/>
          <w:color w:val="0000FF"/>
          <w:sz w:val="24"/>
        </w:rPr>
        <w:t>第</w:t>
      </w:r>
      <w:r>
        <w:rPr>
          <w:rStyle w:val="24"/>
          <w:rFonts w:hint="eastAsia" w:ascii="Arial" w:cs="Arial"/>
          <w:color w:val="0000FF"/>
          <w:sz w:val="24"/>
          <w:lang w:val="en-US" w:eastAsia="zh-CN"/>
        </w:rPr>
        <w:t>三</w:t>
      </w:r>
      <w:r>
        <w:rPr>
          <w:rStyle w:val="24"/>
          <w:rFonts w:ascii="Arial" w:cs="Arial"/>
          <w:color w:val="0000FF"/>
          <w:sz w:val="24"/>
        </w:rPr>
        <w:t>章</w:t>
      </w:r>
      <w:r>
        <w:rPr>
          <w:rStyle w:val="24"/>
          <w:rFonts w:ascii="Arial" w:hAnsi="Arial" w:cs="Arial"/>
          <w:color w:val="0000FF"/>
          <w:sz w:val="24"/>
        </w:rPr>
        <w:t xml:space="preserve">  </w:t>
      </w:r>
      <w:r>
        <w:rPr>
          <w:rFonts w:ascii="Arial" w:hAnsi="Arial" w:cs="Arial"/>
          <w:color w:val="0000FF"/>
          <w:sz w:val="24"/>
        </w:rPr>
        <w:t>评</w:t>
      </w:r>
      <w:r>
        <w:rPr>
          <w:rFonts w:hint="eastAsia" w:ascii="Arial" w:hAnsi="Arial" w:cs="Arial"/>
          <w:color w:val="0000FF"/>
          <w:sz w:val="24"/>
          <w:lang w:val="en-US" w:eastAsia="zh-CN"/>
        </w:rPr>
        <w:t>分</w:t>
      </w:r>
      <w:r>
        <w:rPr>
          <w:rFonts w:ascii="Arial" w:hAnsi="Arial" w:cs="Arial"/>
          <w:color w:val="0000FF"/>
          <w:sz w:val="24"/>
        </w:rPr>
        <w:t>标准</w:t>
      </w:r>
      <w:r>
        <w:rPr>
          <w:rFonts w:ascii="Arial" w:hAnsi="Arial" w:cs="Arial"/>
          <w:color w:val="0000FF"/>
          <w:sz w:val="24"/>
        </w:rPr>
        <w:tab/>
      </w:r>
      <w:r>
        <w:rPr>
          <w:rFonts w:hint="eastAsia" w:ascii="Arial" w:hAnsi="Arial" w:cs="Arial"/>
          <w:color w:val="0000FF"/>
          <w:sz w:val="24"/>
          <w:lang w:val="en-US" w:eastAsia="zh-CN"/>
        </w:rPr>
        <w:t>1</w:t>
      </w:r>
      <w:r>
        <w:rPr>
          <w:rFonts w:ascii="Arial" w:hAnsi="Arial" w:cs="Arial"/>
          <w:color w:val="0000FF"/>
          <w:sz w:val="24"/>
        </w:rPr>
        <w:fldChar w:fldCharType="end"/>
      </w:r>
      <w:r>
        <w:rPr>
          <w:rFonts w:hint="eastAsia" w:ascii="Arial" w:hAnsi="Arial" w:cs="Arial"/>
          <w:color w:val="0000FF"/>
          <w:sz w:val="24"/>
          <w:lang w:val="en-US" w:eastAsia="zh-CN"/>
        </w:rPr>
        <w:t>5</w:t>
      </w:r>
    </w:p>
    <w:p w14:paraId="17C0D9A4">
      <w:pPr>
        <w:pStyle w:val="11"/>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default" w:ascii="Arial" w:hAnsi="Arial" w:eastAsia="宋体" w:cs="Arial"/>
          <w:color w:val="0000FF"/>
          <w:sz w:val="24"/>
          <w:lang w:val="en-US" w:eastAsia="zh-CN"/>
        </w:rPr>
      </w:pPr>
      <w:r>
        <w:rPr>
          <w:rFonts w:hint="eastAsia" w:ascii="Arial" w:hAnsi="Arial" w:cs="Arial"/>
          <w:color w:val="0000FF"/>
          <w:sz w:val="24"/>
          <w:lang w:val="en-US" w:eastAsia="zh-CN"/>
        </w:rPr>
        <w:t>第四章  报价文件格式</w:t>
      </w:r>
      <w:r>
        <w:rPr>
          <w:rFonts w:ascii="Arial" w:hAnsi="Arial" w:cs="Arial"/>
          <w:color w:val="0000FF"/>
          <w:sz w:val="24"/>
        </w:rPr>
        <w:tab/>
      </w:r>
      <w:r>
        <w:rPr>
          <w:rFonts w:hint="default" w:ascii="Arial" w:hAnsi="Arial" w:cs="Arial"/>
          <w:color w:val="0000FF"/>
          <w:sz w:val="24"/>
        </w:rPr>
        <w:t>……………………………………………………………………………</w:t>
      </w:r>
      <w:r>
        <w:rPr>
          <w:rFonts w:hint="eastAsia" w:ascii="Arial" w:hAnsi="Arial" w:cs="Arial"/>
          <w:color w:val="0000FF"/>
          <w:sz w:val="24"/>
          <w:lang w:val="en-US" w:eastAsia="zh-CN"/>
        </w:rPr>
        <w:t>16</w:t>
      </w:r>
    </w:p>
    <w:p w14:paraId="3FD3A5F0">
      <w:pPr>
        <w:rPr>
          <w:rFonts w:hint="eastAsia"/>
          <w:lang w:val="en-US" w:eastAsia="zh-CN"/>
        </w:rPr>
      </w:pPr>
    </w:p>
    <w:p w14:paraId="76C66707">
      <w:pPr>
        <w:keepNext w:val="0"/>
        <w:keepLines w:val="0"/>
        <w:pageBreakBefore w:val="0"/>
        <w:widowControl w:val="0"/>
        <w:kinsoku/>
        <w:wordWrap/>
        <w:overflowPunct/>
        <w:topLinePunct w:val="0"/>
        <w:bidi w:val="0"/>
        <w:adjustRightInd/>
        <w:spacing w:line="440" w:lineRule="exact"/>
        <w:ind w:left="0" w:right="0" w:rightChars="0"/>
        <w:jc w:val="center"/>
        <w:rPr>
          <w:rFonts w:ascii="Arial" w:hAnsi="Arial" w:cs="Arial"/>
          <w:b/>
          <w:bCs/>
          <w:lang w:val="zh-CN"/>
        </w:rPr>
      </w:pPr>
      <w:r>
        <w:rPr>
          <w:rFonts w:ascii="Arial" w:hAnsi="Arial" w:cs="Arial"/>
          <w:b/>
          <w:bCs/>
          <w:lang w:val="zh-CN"/>
        </w:rPr>
        <w:fldChar w:fldCharType="end"/>
      </w:r>
    </w:p>
    <w:p w14:paraId="6E4ACD78">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cs="宋体"/>
          <w:b/>
          <w:bCs/>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1F41E3B">
      <w:pPr>
        <w:keepNext w:val="0"/>
        <w:keepLines w:val="0"/>
        <w:pageBreakBefore w:val="0"/>
        <w:widowControl w:val="0"/>
        <w:kinsoku/>
        <w:wordWrap/>
        <w:overflowPunct/>
        <w:topLinePunct w:val="0"/>
        <w:bidi w:val="0"/>
        <w:adjustRightInd/>
        <w:spacing w:line="440" w:lineRule="exact"/>
        <w:ind w:left="0" w:right="0" w:rightChars="0"/>
        <w:jc w:val="center"/>
        <w:rPr>
          <w:rFonts w:hint="eastAsia" w:asciiTheme="majorEastAsia" w:hAnsiTheme="majorEastAsia" w:eastAsiaTheme="majorEastAsia" w:cstheme="majorEastAsia"/>
          <w:b/>
          <w:bCs/>
          <w:color w:val="auto"/>
          <w:sz w:val="30"/>
          <w:szCs w:val="30"/>
        </w:rPr>
      </w:pPr>
      <w:r>
        <w:rPr>
          <w:rFonts w:hint="eastAsia" w:ascii="宋体" w:hAnsi="宋体" w:cs="宋体"/>
          <w:b/>
          <w:bCs/>
          <w:color w:val="auto"/>
          <w:sz w:val="30"/>
          <w:szCs w:val="30"/>
          <w:lang w:val="en-US" w:eastAsia="zh-CN"/>
        </w:rPr>
        <w:t>第一章  议价</w:t>
      </w:r>
      <w:r>
        <w:rPr>
          <w:rFonts w:hint="eastAsia" w:ascii="宋体" w:hAnsi="宋体" w:eastAsia="宋体" w:cs="宋体"/>
          <w:b/>
          <w:bCs/>
          <w:color w:val="auto"/>
          <w:sz w:val="30"/>
          <w:szCs w:val="30"/>
        </w:rPr>
        <w:t>公告</w:t>
      </w:r>
    </w:p>
    <w:p w14:paraId="163C25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现有桂林市人民医院监护型救护车采购</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，为确保项目质优价廉，决定通过院内</w:t>
      </w:r>
      <w:r>
        <w:rPr>
          <w:rFonts w:hint="eastAsia" w:ascii="宋体" w:hAnsi="宋体" w:cs="宋体"/>
          <w:color w:val="auto"/>
          <w:sz w:val="24"/>
          <w:szCs w:val="24"/>
          <w:lang w:val="en-US" w:eastAsia="zh-CN"/>
        </w:rPr>
        <w:t>议价</w:t>
      </w:r>
      <w:r>
        <w:rPr>
          <w:rFonts w:hint="eastAsia" w:ascii="宋体" w:hAnsi="宋体" w:eastAsia="宋体" w:cs="宋体"/>
          <w:color w:val="auto"/>
          <w:sz w:val="24"/>
          <w:szCs w:val="24"/>
        </w:rPr>
        <w:t>确定供应商，现将有关内容公告如下：</w:t>
      </w:r>
    </w:p>
    <w:p w14:paraId="7BB719B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14:paraId="2D8EB0C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桂林市人民</w:t>
      </w:r>
      <w:r>
        <w:rPr>
          <w:rFonts w:hint="eastAsia" w:ascii="宋体" w:hAnsi="宋体" w:eastAsia="宋体" w:cs="宋体"/>
          <w:color w:val="auto"/>
          <w:sz w:val="24"/>
          <w:szCs w:val="24"/>
          <w:lang w:val="en-US" w:eastAsia="zh-CN"/>
        </w:rPr>
        <w:t>医院</w:t>
      </w:r>
      <w:r>
        <w:rPr>
          <w:rFonts w:hint="eastAsia" w:ascii="宋体" w:hAnsi="宋体" w:eastAsia="宋体" w:cs="宋体"/>
          <w:color w:val="auto"/>
          <w:sz w:val="24"/>
          <w:szCs w:val="24"/>
        </w:rPr>
        <w:t>监护型救护车采购</w:t>
      </w:r>
    </w:p>
    <w:p w14:paraId="2E04FF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lang w:val="en-US" w:eastAsia="zh-CN"/>
        </w:rPr>
        <w:t>BZK-2024-008</w:t>
      </w:r>
    </w:p>
    <w:p w14:paraId="4A9F6A71">
      <w:pPr>
        <w:keepNext w:val="0"/>
        <w:keepLines w:val="0"/>
        <w:pageBreakBefore w:val="0"/>
        <w:widowControl w:val="0"/>
        <w:numPr>
          <w:ilvl w:val="0"/>
          <w:numId w:val="0"/>
        </w:numPr>
        <w:kinsoku/>
        <w:wordWrap/>
        <w:overflowPunct/>
        <w:topLinePunct w:val="0"/>
        <w:bidi w:val="0"/>
        <w:adjustRightInd/>
        <w:snapToGrid/>
        <w:spacing w:line="440" w:lineRule="exact"/>
        <w:ind w:left="480"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项目概况：</w:t>
      </w:r>
    </w:p>
    <w:p w14:paraId="30F58D3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通过</w:t>
      </w:r>
      <w:r>
        <w:rPr>
          <w:rFonts w:hint="eastAsia" w:ascii="宋体" w:hAnsi="宋体" w:eastAsia="宋体" w:cs="宋体"/>
          <w:b w:val="0"/>
          <w:bCs w:val="0"/>
          <w:color w:val="auto"/>
          <w:sz w:val="24"/>
          <w:szCs w:val="24"/>
          <w:lang w:val="en-US" w:eastAsia="zh-CN"/>
        </w:rPr>
        <w:t>院内</w:t>
      </w:r>
      <w:r>
        <w:rPr>
          <w:rFonts w:hint="eastAsia" w:cs="宋体"/>
          <w:b w:val="0"/>
          <w:bCs w:val="0"/>
          <w:color w:val="auto"/>
          <w:sz w:val="24"/>
          <w:szCs w:val="24"/>
          <w:lang w:val="en-US" w:eastAsia="zh-CN"/>
        </w:rPr>
        <w:t>议价</w:t>
      </w:r>
      <w:r>
        <w:rPr>
          <w:rFonts w:hint="eastAsia" w:ascii="宋体" w:hAnsi="宋体" w:eastAsia="宋体" w:cs="宋体"/>
          <w:b w:val="0"/>
          <w:bCs w:val="0"/>
          <w:color w:val="auto"/>
          <w:sz w:val="24"/>
          <w:szCs w:val="24"/>
          <w:lang w:val="en-US" w:eastAsia="zh-CN"/>
        </w:rPr>
        <w:t>确定桂林市人民医院监护型救护车采购项目</w:t>
      </w:r>
      <w:r>
        <w:rPr>
          <w:rFonts w:hint="eastAsia" w:ascii="宋体" w:hAnsi="宋体" w:eastAsia="宋体" w:cs="宋体"/>
          <w:b w:val="0"/>
          <w:bCs w:val="0"/>
          <w:color w:val="auto"/>
          <w:kern w:val="0"/>
          <w:sz w:val="24"/>
          <w:szCs w:val="24"/>
          <w:lang w:val="en-US" w:eastAsia="zh-CN" w:bidi="ar"/>
        </w:rPr>
        <w:t>供应商。</w:t>
      </w:r>
    </w:p>
    <w:p w14:paraId="0740F2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2.采购数量：1辆</w:t>
      </w:r>
    </w:p>
    <w:p w14:paraId="76DE91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服务地点：</w:t>
      </w:r>
      <w:r>
        <w:rPr>
          <w:rFonts w:hint="eastAsia" w:ascii="宋体" w:hAnsi="宋体" w:eastAsia="宋体" w:cs="宋体"/>
          <w:color w:val="auto"/>
          <w:sz w:val="24"/>
          <w:szCs w:val="24"/>
          <w:lang w:val="en-US" w:eastAsia="zh-CN"/>
        </w:rPr>
        <w:t>桂林</w:t>
      </w:r>
      <w:r>
        <w:rPr>
          <w:rFonts w:hint="eastAsia" w:ascii="宋体" w:hAnsi="宋体" w:eastAsia="宋体" w:cs="宋体"/>
          <w:color w:val="auto"/>
          <w:sz w:val="24"/>
          <w:szCs w:val="24"/>
          <w:lang w:eastAsia="zh-CN"/>
        </w:rPr>
        <w:t>市人民医院</w:t>
      </w:r>
    </w:p>
    <w:p w14:paraId="57CD0D8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最高限价：</w:t>
      </w:r>
      <w:r>
        <w:rPr>
          <w:rFonts w:hint="eastAsia" w:ascii="宋体" w:hAnsi="宋体" w:cs="宋体"/>
          <w:spacing w:val="-2"/>
          <w:sz w:val="24"/>
        </w:rPr>
        <w:t>本项目预算金额为</w:t>
      </w:r>
      <w:r>
        <w:rPr>
          <w:rFonts w:hint="eastAsia" w:ascii="宋体" w:hAnsi="宋体" w:cs="宋体"/>
          <w:sz w:val="24"/>
        </w:rPr>
        <w:t>人民币</w:t>
      </w:r>
      <w:r>
        <w:rPr>
          <w:rFonts w:hint="eastAsia" w:ascii="宋体" w:hAnsi="宋体" w:cs="宋体"/>
          <w:sz w:val="24"/>
          <w:lang w:val="en-US" w:eastAsia="zh-CN"/>
        </w:rPr>
        <w:t>贰拾捌万陆仟元整</w:t>
      </w:r>
      <w:r>
        <w:rPr>
          <w:rFonts w:hint="eastAsia" w:ascii="宋体" w:hAnsi="宋体" w:cs="宋体"/>
          <w:sz w:val="24"/>
        </w:rPr>
        <w:t>（¥</w:t>
      </w:r>
      <w:r>
        <w:rPr>
          <w:rFonts w:hint="eastAsia" w:ascii="宋体" w:hAnsi="宋体" w:cs="宋体"/>
          <w:sz w:val="24"/>
          <w:lang w:val="en-US" w:eastAsia="zh-CN"/>
        </w:rPr>
        <w:t>286000</w:t>
      </w:r>
      <w:r>
        <w:rPr>
          <w:rFonts w:hint="eastAsia" w:ascii="宋体" w:hAnsi="宋体" w:cs="宋体"/>
          <w:sz w:val="24"/>
        </w:rPr>
        <w:t>）</w:t>
      </w:r>
      <w:r>
        <w:rPr>
          <w:rFonts w:hint="eastAsia" w:ascii="宋体" w:hAnsi="宋体" w:cs="宋体"/>
          <w:spacing w:val="-2"/>
          <w:sz w:val="24"/>
        </w:rPr>
        <w:t>，供应商报价超出参考预算金额的，按无效处理。</w:t>
      </w:r>
    </w:p>
    <w:p w14:paraId="798984E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二、供应商资质条件要求</w:t>
      </w:r>
    </w:p>
    <w:p w14:paraId="7708037A">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1.国内注册【依法在市场监督管理部门（或行政审批部门）登记注册】的，具备合法资格的供应商；</w:t>
      </w:r>
    </w:p>
    <w:p w14:paraId="0150088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2.参加本议价采购活动前三年内，在经营活动中没有重大违法记录；</w:t>
      </w:r>
    </w:p>
    <w:p w14:paraId="32EDA7D0">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3.本项目不接受在“信用中国”网站(www.creditchina.gov.cn)被列入失信被执行人、重大税收违法失信主体、严重违法失信行为记录名单的供应商参与报价；</w:t>
      </w:r>
    </w:p>
    <w:p w14:paraId="5D44DEEC">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4.本项目不接受联合体参与报价。</w:t>
      </w:r>
    </w:p>
    <w:p w14:paraId="02D218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三、报名时间、方式及获取议价文件方式</w:t>
      </w:r>
    </w:p>
    <w:p w14:paraId="0AC952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报名</w:t>
      </w:r>
      <w:r>
        <w:rPr>
          <w:rFonts w:hint="eastAsia" w:ascii="宋体" w:hAnsi="宋体" w:eastAsia="宋体" w:cs="宋体"/>
          <w:color w:val="auto"/>
          <w:sz w:val="24"/>
          <w:szCs w:val="24"/>
          <w:highlight w:val="none"/>
          <w:lang w:eastAsia="zh-CN"/>
        </w:rPr>
        <w:t>时间：20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日至</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时止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逾期报名无效。</w:t>
      </w:r>
    </w:p>
    <w:p w14:paraId="2FD9E43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报名方式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网上报名。请潜在供应商自行下载附件《</w:t>
      </w:r>
      <w:r>
        <w:rPr>
          <w:rFonts w:hint="eastAsia" w:ascii="宋体" w:hAnsi="宋体" w:eastAsia="宋体" w:cs="宋体"/>
          <w:color w:val="auto"/>
          <w:sz w:val="24"/>
          <w:szCs w:val="24"/>
          <w:highlight w:val="none"/>
          <w:lang w:eastAsia="zh-CN"/>
        </w:rPr>
        <w:t>报名表》，</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lang w:val="en-US" w:eastAsia="zh-CN"/>
        </w:rPr>
        <w:t>报名表》的格式内容</w:t>
      </w:r>
      <w:r>
        <w:rPr>
          <w:rFonts w:hint="eastAsia" w:ascii="宋体" w:hAnsi="宋体" w:eastAsia="宋体" w:cs="宋体"/>
          <w:color w:val="auto"/>
          <w:sz w:val="24"/>
          <w:szCs w:val="24"/>
          <w:highlight w:val="none"/>
          <w:lang w:eastAsia="zh-CN"/>
        </w:rPr>
        <w:t>填写</w:t>
      </w:r>
      <w:r>
        <w:rPr>
          <w:rFonts w:hint="eastAsia" w:ascii="宋体" w:hAnsi="宋体" w:eastAsia="宋体" w:cs="宋体"/>
          <w:color w:val="auto"/>
          <w:sz w:val="24"/>
          <w:szCs w:val="24"/>
          <w:highlight w:val="none"/>
          <w:lang w:val="en-US" w:eastAsia="zh-CN"/>
        </w:rPr>
        <w:t>相关信息，同时</w:t>
      </w:r>
      <w:r>
        <w:rPr>
          <w:rFonts w:hint="eastAsia" w:ascii="宋体" w:hAnsi="宋体" w:eastAsia="宋体" w:cs="宋体"/>
          <w:color w:val="auto"/>
          <w:sz w:val="24"/>
          <w:szCs w:val="24"/>
          <w:highlight w:val="none"/>
          <w:lang w:eastAsia="zh-CN"/>
        </w:rPr>
        <w:t>附上</w:t>
      </w:r>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lang w:eastAsia="zh-CN"/>
        </w:rPr>
        <w:t>“信用中国(www.creditchina.gov.cn)”</w:t>
      </w:r>
      <w:r>
        <w:rPr>
          <w:rFonts w:hint="eastAsia" w:ascii="宋体" w:hAnsi="宋体" w:eastAsia="宋体" w:cs="宋体"/>
          <w:color w:val="auto"/>
          <w:sz w:val="24"/>
          <w:szCs w:val="24"/>
          <w:highlight w:val="none"/>
          <w:lang w:val="en-US" w:eastAsia="zh-CN"/>
        </w:rPr>
        <w:t>上打印的信用查询记录，</w:t>
      </w:r>
      <w:r>
        <w:rPr>
          <w:rFonts w:hint="eastAsia" w:ascii="宋体" w:hAnsi="宋体" w:eastAsia="宋体" w:cs="宋体"/>
          <w:color w:val="auto"/>
          <w:sz w:val="24"/>
          <w:szCs w:val="24"/>
          <w:highlight w:val="none"/>
          <w:lang w:eastAsia="zh-CN"/>
        </w:rPr>
        <w:t>以及中国政府采购网(www.ccgp.gov.cn)相关信息。</w:t>
      </w:r>
      <w:r>
        <w:rPr>
          <w:rFonts w:hint="eastAsia" w:ascii="宋体" w:hAnsi="宋体" w:eastAsia="宋体" w:cs="宋体"/>
          <w:color w:val="auto"/>
          <w:sz w:val="24"/>
          <w:szCs w:val="24"/>
          <w:highlight w:val="none"/>
          <w:lang w:val="en-US" w:eastAsia="zh-CN"/>
        </w:rPr>
        <w:t>供应商将上述材料填写准备好后</w:t>
      </w:r>
      <w:r>
        <w:rPr>
          <w:rFonts w:hint="eastAsia" w:ascii="宋体" w:hAnsi="宋体" w:eastAsia="宋体" w:cs="宋体"/>
          <w:color w:val="auto"/>
          <w:sz w:val="24"/>
          <w:szCs w:val="24"/>
          <w:highlight w:val="none"/>
          <w:lang w:eastAsia="zh-CN"/>
        </w:rPr>
        <w:t>发</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lang w:eastAsia="zh-CN"/>
        </w:rPr>
        <w:t>邮箱（</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"mailto:glsrmyyzbb@163.com"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glsrmyyzbb</w:t>
      </w:r>
      <w:r>
        <w:rPr>
          <w:rFonts w:hint="eastAsia" w:ascii="宋体" w:hAnsi="宋体" w:eastAsia="宋体" w:cs="宋体"/>
          <w:color w:val="auto"/>
          <w:sz w:val="24"/>
          <w:szCs w:val="24"/>
          <w:highlight w:val="none"/>
          <w:lang w:eastAsia="zh-CN"/>
        </w:rPr>
        <w:t>@163.com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即完成报名，</w:t>
      </w:r>
      <w:r>
        <w:rPr>
          <w:rFonts w:hint="eastAsia" w:ascii="宋体" w:hAnsi="宋体" w:eastAsia="宋体" w:cs="宋体"/>
          <w:color w:val="auto"/>
          <w:sz w:val="24"/>
          <w:szCs w:val="24"/>
          <w:highlight w:val="none"/>
          <w:lang w:val="en-US" w:eastAsia="zh-CN"/>
        </w:rPr>
        <w:t>否则将视为报名不成功。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报名表》要求WORD版，其他材料加盖公章后上传扫描件</w:t>
      </w:r>
      <w:r>
        <w:rPr>
          <w:rFonts w:hint="eastAsia" w:ascii="宋体" w:hAnsi="宋体" w:eastAsia="宋体" w:cs="宋体"/>
          <w:color w:val="auto"/>
          <w:sz w:val="24"/>
          <w:szCs w:val="24"/>
          <w:highlight w:val="none"/>
          <w:lang w:eastAsia="zh-CN"/>
        </w:rPr>
        <w:t>。</w:t>
      </w:r>
    </w:p>
    <w:p w14:paraId="1040281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获取议价文件方式：桂林市人民医院官网（www.glrmyy.com）</w:t>
      </w:r>
    </w:p>
    <w:p w14:paraId="3FADE90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四、议价采购活动要求</w:t>
      </w:r>
    </w:p>
    <w:p w14:paraId="40F4D4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议价时间：</w:t>
      </w:r>
      <w:r>
        <w:rPr>
          <w:rFonts w:hint="eastAsia" w:ascii="宋体" w:hAnsi="宋体" w:eastAsia="宋体" w:cs="宋体"/>
          <w:color w:val="auto"/>
          <w:sz w:val="24"/>
          <w:szCs w:val="24"/>
          <w:highlight w:val="none"/>
          <w:lang w:val="en-US" w:eastAsia="zh-CN"/>
        </w:rPr>
        <w:t>议价</w:t>
      </w:r>
      <w:r>
        <w:rPr>
          <w:rFonts w:hint="eastAsia" w:ascii="宋体" w:hAnsi="宋体" w:eastAsia="宋体" w:cs="宋体"/>
          <w:color w:val="auto"/>
          <w:sz w:val="24"/>
          <w:szCs w:val="24"/>
          <w:highlight w:val="none"/>
          <w:lang w:eastAsia="zh-CN"/>
        </w:rPr>
        <w:t>具体时间另行</w:t>
      </w:r>
      <w:r>
        <w:rPr>
          <w:rFonts w:hint="eastAsia" w:ascii="宋体" w:hAnsi="宋体" w:eastAsia="宋体" w:cs="宋体"/>
          <w:color w:val="auto"/>
          <w:sz w:val="24"/>
          <w:szCs w:val="24"/>
          <w:highlight w:val="none"/>
          <w:lang w:val="en-US" w:eastAsia="zh-CN"/>
        </w:rPr>
        <w:t>通知</w:t>
      </w:r>
      <w:r>
        <w:rPr>
          <w:rFonts w:hint="eastAsia" w:ascii="宋体" w:hAnsi="宋体" w:eastAsia="宋体" w:cs="宋体"/>
          <w:color w:val="auto"/>
          <w:sz w:val="24"/>
          <w:szCs w:val="24"/>
          <w:highlight w:val="none"/>
          <w:lang w:eastAsia="zh-CN"/>
        </w:rPr>
        <w:t>，请报名后</w:t>
      </w:r>
      <w:r>
        <w:rPr>
          <w:rFonts w:hint="eastAsia" w:ascii="宋体" w:hAnsi="宋体" w:eastAsia="宋体" w:cs="宋体"/>
          <w:color w:val="auto"/>
          <w:sz w:val="24"/>
          <w:szCs w:val="24"/>
          <w:highlight w:val="none"/>
          <w:lang w:val="en-US" w:eastAsia="zh-CN"/>
        </w:rPr>
        <w:t>根据所获取的议价文件要求及时</w:t>
      </w:r>
      <w:r>
        <w:rPr>
          <w:rFonts w:hint="eastAsia" w:ascii="宋体" w:hAnsi="宋体" w:eastAsia="宋体" w:cs="宋体"/>
          <w:color w:val="auto"/>
          <w:sz w:val="24"/>
          <w:szCs w:val="24"/>
          <w:highlight w:val="none"/>
          <w:lang w:eastAsia="zh-CN"/>
        </w:rPr>
        <w:t>准备正式</w:t>
      </w:r>
      <w:r>
        <w:rPr>
          <w:rFonts w:hint="eastAsia" w:ascii="宋体" w:hAnsi="宋体" w:eastAsia="宋体" w:cs="宋体"/>
          <w:color w:val="auto"/>
          <w:sz w:val="24"/>
          <w:szCs w:val="24"/>
          <w:highlight w:val="none"/>
          <w:lang w:val="en-US" w:eastAsia="zh-CN"/>
        </w:rPr>
        <w:t>的报价文件</w:t>
      </w:r>
      <w:r>
        <w:rPr>
          <w:rFonts w:hint="eastAsia" w:ascii="宋体" w:hAnsi="宋体" w:eastAsia="宋体" w:cs="宋体"/>
          <w:color w:val="auto"/>
          <w:sz w:val="24"/>
          <w:szCs w:val="24"/>
          <w:highlight w:val="none"/>
          <w:lang w:eastAsia="zh-CN"/>
        </w:rPr>
        <w:t>。</w:t>
      </w:r>
    </w:p>
    <w:p w14:paraId="75AE7E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2.议价地点：桂林市人民医院招标办公室（广西桂林市象山区文明路29号）</w:t>
      </w:r>
    </w:p>
    <w:p w14:paraId="1C56AF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3.报价文件：</w:t>
      </w:r>
    </w:p>
    <w:p w14:paraId="148D6E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(1)报价文件组成：必须含有但不限于响应函、营业执照复印件、法定代表人（负责人）身份证复印件、法定代表人授权书原件（委托代理时必须提供）、授权委托代理人身份证复印件</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sz w:val="24"/>
          <w:szCs w:val="24"/>
          <w:highlight w:val="none"/>
          <w:lang w:val="en-US" w:eastAsia="zh-CN"/>
        </w:rPr>
        <w:t>供应商参加政府采购活动前3年内在经营活动中没有重大违法记录的书面</w:t>
      </w:r>
      <w:r>
        <w:rPr>
          <w:rFonts w:hint="eastAsia" w:ascii="宋体" w:hAnsi="宋体" w:eastAsia="宋体" w:cs="宋体"/>
          <w:color w:val="auto"/>
          <w:sz w:val="24"/>
          <w:szCs w:val="24"/>
          <w:lang w:val="en-US" w:eastAsia="zh-CN"/>
        </w:rPr>
        <w:t>声明、供应商关于政府采购活动中信用信息记录的书面声明、信用中国(www.creditchina.gov.cn)上打印的信用查询记录，以及中国政府采购网(www.ccgp.gov.cn)相关信息、</w:t>
      </w:r>
      <w:r>
        <w:rPr>
          <w:rFonts w:hint="eastAsia" w:ascii="宋体" w:hAnsi="宋体" w:eastAsia="宋体" w:cs="宋体"/>
          <w:color w:val="auto"/>
          <w:sz w:val="24"/>
          <w:szCs w:val="24"/>
          <w:highlight w:val="none"/>
        </w:rPr>
        <w:t>项目报价、售后服务方案</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sz w:val="24"/>
          <w:szCs w:val="24"/>
          <w:highlight w:val="none"/>
          <w:lang w:val="en-NZ" w:eastAsia="zh-CN"/>
        </w:rPr>
        <w:t>报价人</w:t>
      </w:r>
      <w:r>
        <w:rPr>
          <w:rFonts w:hint="eastAsia" w:ascii="宋体" w:hAnsi="宋体" w:eastAsia="宋体" w:cs="宋体"/>
          <w:b w:val="0"/>
          <w:bCs w:val="0"/>
          <w:color w:val="auto"/>
          <w:sz w:val="24"/>
          <w:szCs w:val="24"/>
          <w:highlight w:val="none"/>
          <w:lang w:val="en-NZ"/>
        </w:rPr>
        <w:t>或所</w:t>
      </w:r>
      <w:r>
        <w:rPr>
          <w:rFonts w:hint="eastAsia" w:ascii="宋体" w:hAnsi="宋体" w:cs="宋体"/>
          <w:b w:val="0"/>
          <w:bCs w:val="0"/>
          <w:color w:val="auto"/>
          <w:sz w:val="24"/>
          <w:szCs w:val="24"/>
          <w:highlight w:val="none"/>
          <w:lang w:val="en-US" w:eastAsia="zh-CN"/>
        </w:rPr>
        <w:t>报</w:t>
      </w:r>
      <w:r>
        <w:rPr>
          <w:rFonts w:hint="eastAsia" w:ascii="宋体" w:hAnsi="宋体" w:eastAsia="宋体" w:cs="宋体"/>
          <w:b w:val="0"/>
          <w:bCs w:val="0"/>
          <w:color w:val="auto"/>
          <w:sz w:val="24"/>
          <w:szCs w:val="24"/>
          <w:highlight w:val="none"/>
          <w:lang w:val="en-NZ"/>
        </w:rPr>
        <w:t>的生产</w:t>
      </w:r>
      <w:r>
        <w:rPr>
          <w:rFonts w:hint="eastAsia" w:ascii="宋体" w:hAnsi="宋体" w:eastAsia="宋体" w:cs="宋体"/>
          <w:color w:val="auto"/>
          <w:sz w:val="24"/>
          <w:szCs w:val="24"/>
          <w:highlight w:val="none"/>
          <w:lang w:val="en-NZ"/>
        </w:rPr>
        <w:t>厂家通过ISO9001质量管理体系认证且有效</w:t>
      </w:r>
      <w:r>
        <w:rPr>
          <w:rFonts w:hint="eastAsia" w:ascii="宋体" w:hAnsi="宋体" w:eastAsia="宋体" w:cs="宋体"/>
          <w:color w:val="auto"/>
          <w:sz w:val="24"/>
          <w:szCs w:val="24"/>
          <w:highlight w:val="none"/>
          <w:lang w:val="en-NZ"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val="en-NZ" w:eastAsia="zh-CN"/>
        </w:rPr>
        <w:t>）、</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、联系人及电话等资料。供应商应完整准备上述报价文件的材料，否则由此引起的不利后果由供应商承担。</w:t>
      </w:r>
    </w:p>
    <w:p w14:paraId="00AADB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报价文件所提供的证照及相关证明材料必须真实有效，一经发现造假，将取消本次议价资格并追究相关法律责任！</w:t>
      </w:r>
    </w:p>
    <w:p w14:paraId="6F3B4087">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报价文件份数：正本一份，副本六份。</w:t>
      </w:r>
    </w:p>
    <w:p w14:paraId="7C55B33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应按规定的时间递交报价文件（报价文件应密封并加盖单位公章），报价文件一旦提交恕不退回，逾期不予受理。同时供应商委派参加本次议价采购活动的代表应当熟悉相关业务，否则由此引起的不利后果由供应商承担。</w:t>
      </w:r>
    </w:p>
    <w:p w14:paraId="118B53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5.凡报名合格并获取了议价文件的供应商，视同响应承诺参与本次议价采购活动。若因故不能按期参加的，请至少于采购活动截止时间前两天以书面邮件形式（发送邮箱地址：</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"mailto:glsrmyyzbb@163.com"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glsrmyyzbb@163.com</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color w:val="auto"/>
          <w:sz w:val="24"/>
          <w:szCs w:val="24"/>
          <w:lang w:val="en-US" w:eastAsia="zh-CN"/>
        </w:rPr>
        <w:t>）告知我院招标办公室，否则，将被视为不诚信供应商，列入我院供应商黑名单，至少一年内不接受其参与我院院内的任何议价采购活动。</w:t>
      </w:r>
    </w:p>
    <w:p w14:paraId="3F797BD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六、信息公告发布媒体</w:t>
      </w:r>
      <w:bookmarkStart w:id="0" w:name="_GoBack"/>
      <w:bookmarkEnd w:id="0"/>
    </w:p>
    <w:p w14:paraId="318936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本次议价采购公告在桂林市人民医院官网（www.glrmyy.com）发布，对其他网站转发本公告可能引起的信息误导、造成供应商的经济或其他损失的，采购人不负任何责任。</w:t>
      </w:r>
    </w:p>
    <w:p w14:paraId="580BF47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七、联系方式</w:t>
      </w:r>
    </w:p>
    <w:p w14:paraId="7F3A0A5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1.联系人：罗老师、戴老师</w:t>
      </w:r>
    </w:p>
    <w:p w14:paraId="4944BB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2.联系电话：0773-2803316</w:t>
      </w:r>
    </w:p>
    <w:p w14:paraId="3491F62E">
      <w:pPr>
        <w:keepNext w:val="0"/>
        <w:keepLines w:val="0"/>
        <w:pageBreakBefore w:val="0"/>
        <w:widowControl w:val="0"/>
        <w:tabs>
          <w:tab w:val="left" w:pos="6583"/>
        </w:tabs>
        <w:kinsoku/>
        <w:wordWrap/>
        <w:overflowPunct/>
        <w:topLinePunct w:val="0"/>
        <w:autoSpaceDE/>
        <w:autoSpaceDN/>
        <w:bidi w:val="0"/>
        <w:adjustRightInd/>
        <w:snapToGrid/>
        <w:spacing w:line="420" w:lineRule="exact"/>
        <w:ind w:firstLine="5760" w:firstLineChars="24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桂林市人民医院</w:t>
      </w:r>
    </w:p>
    <w:p w14:paraId="4EE99FAF">
      <w:pPr>
        <w:keepNext w:val="0"/>
        <w:keepLines w:val="0"/>
        <w:pageBreakBefore w:val="0"/>
        <w:widowControl w:val="0"/>
        <w:tabs>
          <w:tab w:val="left" w:pos="5623"/>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w w:val="95"/>
          <w:sz w:val="24"/>
          <w:szCs w:val="24"/>
          <w:lang w:val="en-US" w:eastAsia="zh-CN"/>
        </w:rPr>
      </w:pPr>
      <w:r>
        <w:rPr>
          <w:rFonts w:hint="eastAsia" w:ascii="宋体" w:hAnsi="宋体" w:eastAsia="宋体" w:cs="宋体"/>
          <w:color w:val="auto"/>
          <w:sz w:val="24"/>
          <w:szCs w:val="24"/>
          <w:lang w:val="en-US" w:eastAsia="zh-CN"/>
        </w:rPr>
        <w:t xml:space="preserve">                                                        2025年2月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日</w:t>
      </w:r>
    </w:p>
    <w:p w14:paraId="2F97C8F8">
      <w:pPr>
        <w:rPr>
          <w:rFonts w:hint="eastAsia" w:ascii="宋体" w:hAnsi="宋体" w:eastAsia="宋体" w:cs="宋体"/>
          <w:color w:val="auto"/>
          <w:sz w:val="24"/>
          <w:szCs w:val="24"/>
          <w:lang w:val="en-US" w:eastAsia="zh-CN"/>
        </w:rPr>
      </w:pPr>
      <w:r>
        <w:rPr>
          <w:rFonts w:hint="eastAsia" w:ascii="宋体" w:hAnsi="宋体" w:eastAsia="宋体" w:cs="宋体"/>
          <w:b/>
          <w:bCs/>
          <w:color w:val="auto"/>
          <w:w w:val="95"/>
          <w:sz w:val="24"/>
          <w:szCs w:val="24"/>
          <w:lang w:val="en-US" w:eastAsia="zh-CN"/>
        </w:rPr>
        <w:br w:type="page"/>
      </w:r>
    </w:p>
    <w:p w14:paraId="426B1D59">
      <w:pPr>
        <w:pStyle w:val="19"/>
        <w:keepNext w:val="0"/>
        <w:keepLines w:val="0"/>
        <w:pageBreakBefore w:val="0"/>
        <w:widowControl w:val="0"/>
        <w:kinsoku/>
        <w:wordWrap/>
        <w:overflowPunct/>
        <w:topLinePunct w:val="0"/>
        <w:bidi w:val="0"/>
        <w:adjustRightInd/>
        <w:spacing w:before="0" w:line="440" w:lineRule="exact"/>
        <w:ind w:left="0" w:right="0" w:rightChars="0"/>
        <w:rPr>
          <w:rFonts w:hint="eastAsia" w:ascii="宋体" w:hAnsi="宋体" w:eastAsia="宋体" w:cs="宋体"/>
          <w:color w:val="auto"/>
          <w:sz w:val="30"/>
          <w:szCs w:val="30"/>
        </w:rPr>
      </w:pPr>
      <w:r>
        <w:rPr>
          <w:rFonts w:hint="eastAsia" w:ascii="宋体" w:hAnsi="宋体" w:eastAsia="宋体" w:cs="宋体"/>
          <w:b/>
          <w:bCs/>
          <w:color w:val="auto"/>
          <w:w w:val="95"/>
          <w:sz w:val="30"/>
          <w:szCs w:val="30"/>
          <w:lang w:val="en-US" w:eastAsia="zh-CN"/>
        </w:rPr>
        <w:t>第二章  项目</w:t>
      </w:r>
      <w:r>
        <w:rPr>
          <w:rFonts w:hint="eastAsia" w:ascii="宋体" w:hAnsi="宋体" w:eastAsia="宋体" w:cs="宋体"/>
          <w:b/>
          <w:bCs/>
          <w:color w:val="auto"/>
          <w:w w:val="95"/>
          <w:sz w:val="30"/>
          <w:szCs w:val="30"/>
        </w:rPr>
        <w:t>需求</w:t>
      </w:r>
      <w:r>
        <w:rPr>
          <w:rFonts w:hint="eastAsia" w:ascii="宋体" w:hAnsi="宋体" w:eastAsia="宋体" w:cs="宋体"/>
          <w:b/>
          <w:bCs/>
          <w:color w:val="auto"/>
          <w:w w:val="95"/>
          <w:sz w:val="30"/>
          <w:szCs w:val="30"/>
          <w:lang w:val="en-US" w:eastAsia="zh-CN"/>
        </w:rPr>
        <w:t>和说明</w:t>
      </w:r>
      <w:r>
        <w:rPr>
          <w:rFonts w:hint="eastAsia" w:ascii="宋体" w:hAnsi="宋体" w:eastAsia="宋体" w:cs="宋体"/>
          <w:b/>
          <w:bCs/>
          <w:color w:val="auto"/>
          <w:w w:val="95"/>
          <w:sz w:val="30"/>
          <w:szCs w:val="30"/>
        </w:rPr>
        <w:t xml:space="preserve"> </w:t>
      </w:r>
    </w:p>
    <w:p w14:paraId="7DC0F9C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桂林市人民</w:t>
      </w:r>
      <w:r>
        <w:rPr>
          <w:rFonts w:hint="eastAsia" w:ascii="宋体" w:hAnsi="宋体" w:eastAsia="宋体" w:cs="宋体"/>
          <w:color w:val="auto"/>
          <w:sz w:val="24"/>
          <w:szCs w:val="24"/>
          <w:lang w:val="en-US" w:eastAsia="zh-CN"/>
        </w:rPr>
        <w:t>医院</w:t>
      </w:r>
      <w:r>
        <w:rPr>
          <w:rFonts w:hint="eastAsia" w:ascii="宋体" w:hAnsi="宋体" w:eastAsia="宋体" w:cs="宋体"/>
          <w:color w:val="auto"/>
          <w:sz w:val="24"/>
          <w:szCs w:val="24"/>
        </w:rPr>
        <w:t>监护型救护车采购</w:t>
      </w:r>
    </w:p>
    <w:p w14:paraId="176F7A3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BZK-2024-008</w:t>
      </w:r>
    </w:p>
    <w:p w14:paraId="208F1F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三、采购需求</w:t>
      </w:r>
    </w:p>
    <w:p w14:paraId="3B7933F1">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1.技术要求</w:t>
      </w:r>
    </w:p>
    <w:tbl>
      <w:tblPr>
        <w:tblStyle w:val="21"/>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05"/>
        <w:gridCol w:w="7312"/>
      </w:tblGrid>
      <w:tr w14:paraId="2FA4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6F43ADC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305" w:type="dxa"/>
            <w:vAlign w:val="center"/>
          </w:tcPr>
          <w:p w14:paraId="103EB37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各项要求</w:t>
            </w:r>
          </w:p>
        </w:tc>
        <w:tc>
          <w:tcPr>
            <w:tcW w:w="7312" w:type="dxa"/>
            <w:vAlign w:val="center"/>
          </w:tcPr>
          <w:p w14:paraId="3A7425B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sz w:val="21"/>
                <w:szCs w:val="21"/>
                <w:lang w:eastAsia="zh-CN"/>
              </w:rPr>
            </w:pPr>
            <w:r>
              <w:rPr>
                <w:rFonts w:hint="eastAsia" w:ascii="宋体" w:hAnsi="宋体" w:eastAsia="宋体" w:cs="宋体"/>
                <w:b/>
                <w:bCs/>
                <w:color w:val="000000"/>
                <w:sz w:val="21"/>
                <w:szCs w:val="21"/>
                <w:lang w:val="en-US" w:eastAsia="zh-CN"/>
              </w:rPr>
              <w:t>具体</w:t>
            </w:r>
            <w:r>
              <w:rPr>
                <w:rFonts w:hint="eastAsia" w:ascii="宋体" w:hAnsi="宋体" w:eastAsia="宋体" w:cs="宋体"/>
                <w:b/>
                <w:bCs/>
                <w:color w:val="000000"/>
                <w:sz w:val="21"/>
                <w:szCs w:val="21"/>
              </w:rPr>
              <w:t>要求</w:t>
            </w:r>
          </w:p>
        </w:tc>
      </w:tr>
      <w:tr w14:paraId="427F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40" w:type="dxa"/>
            <w:vAlign w:val="center"/>
          </w:tcPr>
          <w:p w14:paraId="44DCA26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05" w:type="dxa"/>
            <w:vAlign w:val="center"/>
          </w:tcPr>
          <w:p w14:paraId="18E06B3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基本要求</w:t>
            </w:r>
          </w:p>
        </w:tc>
        <w:tc>
          <w:tcPr>
            <w:tcW w:w="7312" w:type="dxa"/>
            <w:vAlign w:val="top"/>
          </w:tcPr>
          <w:p w14:paraId="609077F2">
            <w:pPr>
              <w:numPr>
                <w:ilvl w:val="0"/>
                <w:numId w:val="0"/>
              </w:numPr>
              <w:ind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★A.车型：</w:t>
            </w:r>
            <w:r>
              <w:rPr>
                <w:rFonts w:hint="eastAsia" w:ascii="宋体" w:hAnsi="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lang w:val="en-US" w:eastAsia="zh-CN"/>
              </w:rPr>
              <w:t>车型必须为原厂客车底盘。</w:t>
            </w:r>
          </w:p>
          <w:p w14:paraId="28EA21AB">
            <w:pPr>
              <w:numPr>
                <w:ilvl w:val="0"/>
                <w:numId w:val="0"/>
              </w:numPr>
              <w:ind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B.功能：主要用于运输和抢救病人。</w:t>
            </w:r>
          </w:p>
          <w:p w14:paraId="227C58C0">
            <w:pPr>
              <w:numPr>
                <w:ilvl w:val="0"/>
                <w:numId w:val="0"/>
              </w:numPr>
              <w:ind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C.上牌要求：</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eastAsia="zh-CN"/>
              </w:rPr>
              <w:t>报</w:t>
            </w:r>
            <w:r>
              <w:rPr>
                <w:rFonts w:hint="eastAsia" w:ascii="宋体" w:hAnsi="宋体" w:eastAsia="宋体" w:cs="宋体"/>
                <w:b w:val="0"/>
                <w:bCs w:val="0"/>
                <w:color w:val="auto"/>
                <w:sz w:val="21"/>
                <w:szCs w:val="21"/>
                <w:highlight w:val="none"/>
              </w:rPr>
              <w:t>车辆应具备国家发改委目录公告</w:t>
            </w:r>
            <w:r>
              <w:rPr>
                <w:rFonts w:hint="eastAsia" w:ascii="宋体" w:hAnsi="宋体" w:eastAsia="宋体" w:cs="宋体"/>
                <w:b w:val="0"/>
                <w:bCs w:val="0"/>
                <w:color w:val="auto"/>
                <w:sz w:val="21"/>
                <w:szCs w:val="21"/>
                <w:highlight w:val="none"/>
                <w:lang w:val="en-US" w:eastAsia="zh-CN"/>
              </w:rPr>
              <w:t>，能在买方所在地的公安交通管理部门办理特种车上牌照手续。</w:t>
            </w:r>
          </w:p>
          <w:p w14:paraId="2FEA8CF5">
            <w:pPr>
              <w:numPr>
                <w:ilvl w:val="0"/>
                <w:numId w:val="0"/>
              </w:numPr>
              <w:ind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D.驾驶证要求：C1驾照即可驾驶。</w:t>
            </w:r>
          </w:p>
          <w:p w14:paraId="52391A93">
            <w:pPr>
              <w:numPr>
                <w:ilvl w:val="0"/>
                <w:numId w:val="0"/>
              </w:numPr>
              <w:ind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E.工作条件：车辆应适应全国自然条件，适应户外作业的需求。</w:t>
            </w:r>
          </w:p>
          <w:p w14:paraId="67589C64">
            <w:pPr>
              <w:numPr>
                <w:ilvl w:val="0"/>
                <w:numId w:val="0"/>
              </w:numPr>
              <w:ind w:right="0" w:rightChars="0"/>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F.舒适配置：多功能方向盘、定速巡航、日间行车灯、倒车后视。</w:t>
            </w:r>
          </w:p>
        </w:tc>
      </w:tr>
      <w:tr w14:paraId="6337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vAlign w:val="center"/>
          </w:tcPr>
          <w:p w14:paraId="156AE4A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05" w:type="dxa"/>
            <w:vAlign w:val="center"/>
          </w:tcPr>
          <w:p w14:paraId="362BEEC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底盘要求</w:t>
            </w:r>
          </w:p>
        </w:tc>
        <w:tc>
          <w:tcPr>
            <w:tcW w:w="7312" w:type="dxa"/>
            <w:vAlign w:val="top"/>
          </w:tcPr>
          <w:p w14:paraId="0C74A3FA">
            <w:pPr>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lang w:val="en-US" w:eastAsia="zh-CN"/>
              </w:rPr>
              <w:t>★A.车辆尺寸：</w:t>
            </w:r>
            <w:r>
              <w:rPr>
                <w:rFonts w:hint="eastAsia" w:ascii="宋体" w:hAnsi="宋体" w:eastAsia="宋体" w:cs="宋体"/>
                <w:b w:val="0"/>
                <w:bCs w:val="0"/>
                <w:color w:val="auto"/>
                <w:sz w:val="21"/>
                <w:szCs w:val="21"/>
                <w:lang w:val="en-US" w:eastAsia="zh-CN"/>
              </w:rPr>
              <w:t>整车长(mm)≥5900；整车宽(mm)≥2000；整车高(mm)≥2500；轴距(mm)≥3700。（</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在</w:t>
            </w:r>
            <w:r>
              <w:rPr>
                <w:rFonts w:hint="eastAsia" w:ascii="宋体" w:hAnsi="宋体" w:cs="宋体"/>
                <w:b w:val="0"/>
                <w:bCs w:val="0"/>
                <w:color w:val="auto"/>
                <w:sz w:val="21"/>
                <w:szCs w:val="21"/>
                <w:lang w:val="en-US" w:eastAsia="zh-CN"/>
              </w:rPr>
              <w:t>报价</w:t>
            </w:r>
            <w:r>
              <w:rPr>
                <w:rFonts w:hint="eastAsia" w:ascii="宋体" w:hAnsi="宋体" w:eastAsia="宋体" w:cs="宋体"/>
                <w:b w:val="0"/>
                <w:bCs w:val="0"/>
                <w:color w:val="auto"/>
                <w:sz w:val="21"/>
                <w:szCs w:val="21"/>
                <w:lang w:val="en-US" w:eastAsia="zh-CN"/>
              </w:rPr>
              <w:t>文件中提供相应的中国工信部产品参数公告截图证明并标注）</w:t>
            </w:r>
          </w:p>
          <w:p w14:paraId="32A48C9E">
            <w:pPr>
              <w:ind w:left="0" w:leftChars="0" w:right="0" w:rightChars="0"/>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lang w:val="en-US" w:eastAsia="zh-CN"/>
              </w:rPr>
              <w:t>★B.排放标准：国六、排气量≥2200ml、功率≥128kw、总质量≥4100kg、 整备质量≥2900kg。（</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在</w:t>
            </w:r>
            <w:r>
              <w:rPr>
                <w:rFonts w:hint="eastAsia" w:ascii="宋体" w:hAnsi="宋体" w:cs="宋体"/>
                <w:b w:val="0"/>
                <w:bCs w:val="0"/>
                <w:color w:val="auto"/>
                <w:sz w:val="21"/>
                <w:szCs w:val="21"/>
                <w:lang w:val="en-US" w:eastAsia="zh-CN"/>
              </w:rPr>
              <w:t>报价</w:t>
            </w:r>
            <w:r>
              <w:rPr>
                <w:rFonts w:hint="eastAsia" w:ascii="宋体" w:hAnsi="宋体" w:eastAsia="宋体" w:cs="宋体"/>
                <w:b w:val="0"/>
                <w:bCs w:val="0"/>
                <w:color w:val="auto"/>
                <w:sz w:val="21"/>
                <w:szCs w:val="21"/>
                <w:lang w:val="en-US" w:eastAsia="zh-CN"/>
              </w:rPr>
              <w:t>文件</w:t>
            </w:r>
            <w:r>
              <w:rPr>
                <w:rFonts w:hint="eastAsia" w:ascii="宋体" w:hAnsi="宋体" w:eastAsia="宋体" w:cs="宋体"/>
                <w:sz w:val="21"/>
                <w:szCs w:val="21"/>
                <w:lang w:val="en-US" w:eastAsia="zh-CN"/>
              </w:rPr>
              <w:t>中提供相应的中国工信部产品参数公告截图证明并标注）</w:t>
            </w:r>
          </w:p>
          <w:p w14:paraId="680C7C2A">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C.接近角/离去角≥19/19°。</w:t>
            </w:r>
          </w:p>
          <w:p w14:paraId="3942DB2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D.乘员数：5-8人。</w:t>
            </w:r>
          </w:p>
          <w:p w14:paraId="3C8964EB">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E.燃油种类：柴油。</w:t>
            </w:r>
          </w:p>
          <w:p w14:paraId="43C674E6">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F.百公里油耗≤12L。</w:t>
            </w:r>
          </w:p>
          <w:p w14:paraId="0C96A8CF">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G.变速器：六档手动变速器，中控台集成式换挡杆。</w:t>
            </w:r>
          </w:p>
          <w:p w14:paraId="7EE9EC49">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H.最高时速≥160Km/h。</w:t>
            </w:r>
          </w:p>
          <w:p w14:paraId="68C0FC0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I.轮胎：235/65R16C。</w:t>
            </w:r>
          </w:p>
          <w:p w14:paraId="5EB62CD3">
            <w:pPr>
              <w:ind w:left="0"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J.刹车系统：前通风盘式，后实心盘式，ABS，四轮碟刹。</w:t>
            </w:r>
          </w:p>
        </w:tc>
      </w:tr>
      <w:tr w14:paraId="5FC7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0" w:type="dxa"/>
            <w:vAlign w:val="center"/>
          </w:tcPr>
          <w:p w14:paraId="2D7D53A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05" w:type="dxa"/>
            <w:vAlign w:val="center"/>
          </w:tcPr>
          <w:p w14:paraId="536BE0B2">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车辆主要配置</w:t>
            </w:r>
          </w:p>
        </w:tc>
        <w:tc>
          <w:tcPr>
            <w:tcW w:w="7312" w:type="dxa"/>
            <w:vAlign w:val="top"/>
          </w:tcPr>
          <w:p w14:paraId="3EB39F49">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防抱死制动系统(ABS)</w:t>
            </w:r>
            <w:r>
              <w:rPr>
                <w:rFonts w:hint="eastAsia" w:ascii="宋体" w:hAnsi="宋体" w:eastAsia="宋体" w:cs="宋体"/>
                <w:sz w:val="21"/>
                <w:szCs w:val="21"/>
                <w:lang w:eastAsia="zh-CN"/>
              </w:rPr>
              <w:t>。</w:t>
            </w:r>
          </w:p>
          <w:p w14:paraId="1A94A2A1">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制动力分配系统(EBD)</w:t>
            </w:r>
            <w:r>
              <w:rPr>
                <w:rFonts w:hint="eastAsia" w:ascii="宋体" w:hAnsi="宋体" w:eastAsia="宋体" w:cs="宋体"/>
                <w:sz w:val="21"/>
                <w:szCs w:val="21"/>
                <w:lang w:eastAsia="zh-CN"/>
              </w:rPr>
              <w:t>。</w:t>
            </w:r>
          </w:p>
          <w:p w14:paraId="3B1FEDA0">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车辆维护警告系统</w:t>
            </w:r>
            <w:r>
              <w:rPr>
                <w:rFonts w:hint="eastAsia" w:ascii="宋体" w:hAnsi="宋体" w:eastAsia="宋体" w:cs="宋体"/>
                <w:sz w:val="21"/>
                <w:szCs w:val="21"/>
                <w:lang w:eastAsia="zh-CN"/>
              </w:rPr>
              <w:t>。</w:t>
            </w:r>
          </w:p>
          <w:p w14:paraId="18885869">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rPr>
              <w:t>中控门锁</w:t>
            </w:r>
            <w:r>
              <w:rPr>
                <w:rFonts w:hint="eastAsia" w:ascii="宋体" w:hAnsi="宋体" w:eastAsia="宋体" w:cs="宋体"/>
                <w:sz w:val="21"/>
                <w:szCs w:val="21"/>
                <w:lang w:eastAsia="zh-CN"/>
              </w:rPr>
              <w:t>。</w:t>
            </w:r>
          </w:p>
          <w:p w14:paraId="1711C2C4">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rPr>
              <w:t>驾驶室3座椅</w:t>
            </w:r>
            <w:r>
              <w:rPr>
                <w:rFonts w:hint="eastAsia" w:ascii="宋体" w:hAnsi="宋体" w:eastAsia="宋体" w:cs="宋体"/>
                <w:sz w:val="21"/>
                <w:szCs w:val="21"/>
                <w:lang w:eastAsia="zh-CN"/>
              </w:rPr>
              <w:t>。</w:t>
            </w:r>
          </w:p>
          <w:p w14:paraId="0B2A5AF9">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w:t>
            </w:r>
            <w:r>
              <w:rPr>
                <w:rFonts w:hint="eastAsia" w:ascii="宋体" w:hAnsi="宋体" w:eastAsia="宋体" w:cs="宋体"/>
                <w:sz w:val="21"/>
                <w:szCs w:val="21"/>
              </w:rPr>
              <w:t>驾驶员安全气囊</w:t>
            </w:r>
            <w:r>
              <w:rPr>
                <w:rFonts w:hint="eastAsia" w:ascii="宋体" w:hAnsi="宋体" w:eastAsia="宋体" w:cs="宋体"/>
                <w:sz w:val="21"/>
                <w:szCs w:val="21"/>
                <w:lang w:eastAsia="zh-CN"/>
              </w:rPr>
              <w:t>。</w:t>
            </w:r>
          </w:p>
          <w:p w14:paraId="00BB58ED">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w:t>
            </w:r>
            <w:r>
              <w:rPr>
                <w:rFonts w:hint="eastAsia" w:ascii="宋体" w:hAnsi="宋体" w:eastAsia="宋体" w:cs="宋体"/>
                <w:sz w:val="21"/>
                <w:szCs w:val="21"/>
              </w:rPr>
              <w:t>多媒体收音机</w:t>
            </w:r>
            <w:r>
              <w:rPr>
                <w:rFonts w:hint="eastAsia" w:ascii="宋体" w:hAnsi="宋体" w:eastAsia="宋体" w:cs="宋体"/>
                <w:sz w:val="21"/>
                <w:szCs w:val="21"/>
                <w:lang w:eastAsia="zh-CN"/>
              </w:rPr>
              <w:t>。</w:t>
            </w:r>
          </w:p>
          <w:p w14:paraId="4DFB1563">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H.</w:t>
            </w:r>
            <w:r>
              <w:rPr>
                <w:rFonts w:hint="eastAsia" w:ascii="宋体" w:hAnsi="宋体" w:eastAsia="宋体" w:cs="宋体"/>
                <w:sz w:val="21"/>
                <w:szCs w:val="21"/>
              </w:rPr>
              <w:t>驾驶室电动车窗</w:t>
            </w:r>
            <w:r>
              <w:rPr>
                <w:rFonts w:hint="eastAsia" w:ascii="宋体" w:hAnsi="宋体" w:eastAsia="宋体" w:cs="宋体"/>
                <w:sz w:val="21"/>
                <w:szCs w:val="21"/>
                <w:lang w:eastAsia="zh-CN"/>
              </w:rPr>
              <w:t>。</w:t>
            </w:r>
          </w:p>
          <w:p w14:paraId="10ACD68C">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I.</w:t>
            </w:r>
            <w:r>
              <w:rPr>
                <w:rFonts w:hint="eastAsia" w:ascii="宋体" w:hAnsi="宋体" w:eastAsia="宋体" w:cs="宋体"/>
                <w:sz w:val="21"/>
                <w:szCs w:val="21"/>
              </w:rPr>
              <w:t>后双开门</w:t>
            </w:r>
            <w:r>
              <w:rPr>
                <w:rFonts w:hint="eastAsia" w:ascii="宋体" w:hAnsi="宋体" w:eastAsia="宋体" w:cs="宋体"/>
                <w:sz w:val="21"/>
                <w:szCs w:val="21"/>
                <w:lang w:eastAsia="zh-CN"/>
              </w:rPr>
              <w:t>。</w:t>
            </w:r>
          </w:p>
          <w:p w14:paraId="4B1FF37D">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J.</w:t>
            </w:r>
            <w:r>
              <w:rPr>
                <w:rFonts w:hint="eastAsia" w:ascii="宋体" w:hAnsi="宋体" w:eastAsia="宋体" w:cs="宋体"/>
                <w:sz w:val="21"/>
                <w:szCs w:val="21"/>
              </w:rPr>
              <w:t>后上车踏板</w:t>
            </w:r>
            <w:r>
              <w:rPr>
                <w:rFonts w:hint="eastAsia" w:ascii="宋体" w:hAnsi="宋体" w:eastAsia="宋体" w:cs="宋体"/>
                <w:sz w:val="21"/>
                <w:szCs w:val="21"/>
                <w:lang w:eastAsia="zh-CN"/>
              </w:rPr>
              <w:t>。</w:t>
            </w:r>
          </w:p>
          <w:p w14:paraId="4F017CCD">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K.</w:t>
            </w:r>
            <w:r>
              <w:rPr>
                <w:rFonts w:hint="eastAsia" w:ascii="宋体" w:hAnsi="宋体" w:eastAsia="宋体" w:cs="宋体"/>
                <w:sz w:val="21"/>
                <w:szCs w:val="21"/>
              </w:rPr>
              <w:t>同色保险杆</w:t>
            </w:r>
            <w:r>
              <w:rPr>
                <w:rFonts w:hint="eastAsia" w:ascii="宋体" w:hAnsi="宋体" w:eastAsia="宋体" w:cs="宋体"/>
                <w:sz w:val="21"/>
                <w:szCs w:val="21"/>
                <w:lang w:eastAsia="zh-CN"/>
              </w:rPr>
              <w:t>。</w:t>
            </w:r>
          </w:p>
          <w:p w14:paraId="297A84FF">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w:t>
            </w:r>
            <w:r>
              <w:rPr>
                <w:rFonts w:hint="eastAsia" w:ascii="宋体" w:hAnsi="宋体" w:eastAsia="宋体" w:cs="宋体"/>
                <w:sz w:val="21"/>
                <w:szCs w:val="21"/>
              </w:rPr>
              <w:t>第二把摇控钥匙</w:t>
            </w:r>
            <w:r>
              <w:rPr>
                <w:rFonts w:hint="eastAsia" w:ascii="宋体" w:hAnsi="宋体" w:eastAsia="宋体" w:cs="宋体"/>
                <w:sz w:val="21"/>
                <w:szCs w:val="21"/>
                <w:lang w:eastAsia="zh-CN"/>
              </w:rPr>
              <w:t>。</w:t>
            </w:r>
          </w:p>
          <w:p w14:paraId="7D6A527C">
            <w:pPr>
              <w:ind w:left="0" w:leftChars="0" w:right="0" w:righ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M.</w:t>
            </w:r>
            <w:r>
              <w:rPr>
                <w:rFonts w:hint="eastAsia" w:ascii="宋体" w:hAnsi="宋体" w:eastAsia="宋体" w:cs="宋体"/>
                <w:sz w:val="21"/>
                <w:szCs w:val="21"/>
              </w:rPr>
              <w:t>后门装透明玻璃,窗户上2/3贴乳白色不透明防爆膜</w:t>
            </w:r>
            <w:r>
              <w:rPr>
                <w:rFonts w:hint="eastAsia" w:ascii="宋体" w:hAnsi="宋体" w:eastAsia="宋体" w:cs="宋体"/>
                <w:sz w:val="21"/>
                <w:szCs w:val="21"/>
                <w:lang w:eastAsia="zh-CN"/>
              </w:rPr>
              <w:t>。</w:t>
            </w:r>
          </w:p>
          <w:p w14:paraId="2400FD50">
            <w:pPr>
              <w:ind w:left="0"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N.驾驶室中控台配备≥12英寸的原厂液晶显示屏。</w:t>
            </w:r>
          </w:p>
        </w:tc>
      </w:tr>
      <w:tr w14:paraId="7FAD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40" w:type="dxa"/>
            <w:vAlign w:val="center"/>
          </w:tcPr>
          <w:p w14:paraId="0C2C108B">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05" w:type="dxa"/>
            <w:vAlign w:val="center"/>
          </w:tcPr>
          <w:p w14:paraId="0C5E3257">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内饰装配系统</w:t>
            </w:r>
          </w:p>
        </w:tc>
        <w:tc>
          <w:tcPr>
            <w:tcW w:w="7312" w:type="dxa"/>
            <w:vAlign w:val="top"/>
          </w:tcPr>
          <w:p w14:paraId="1C2F93C7">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医疗舱内饰：内饰车顶采用高强度、扛冲击性强、耐老化、方便清洗和消毒的高分子材料，防火标准：B1级标准；顶部内饰采用≥0.6密度的PVC材料无并接；阻燃性能符合GB8624-2012-B1级标准1套；车辆顶部及侧围预埋金属件，采用断续焊，所有焊点处磨平并做防锈处理，增加整车顶部及侧围强度，增加顶部载重能力，1套。</w:t>
            </w:r>
          </w:p>
          <w:p w14:paraId="0D584956">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B.隔断：驾驶室与医疗舱完全密封隔断（带推拉观察窗）1套。</w:t>
            </w:r>
          </w:p>
          <w:p w14:paraId="33C17733">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C.舱内左侧≥双10L氧气瓶柜，配置氧气瓶底座、固定支架，柜体表面无尖锐边角，采用原边处理2套。</w:t>
            </w:r>
          </w:p>
          <w:p w14:paraId="0A6A78D5">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D.医疗舱隔断后医疗柜，柜体表面无尖锐边角，采用原边处理1套。</w:t>
            </w:r>
          </w:p>
          <w:p w14:paraId="348A288F">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E.舱内多用医药吊柜：吊柜为推拉门，蓝色抗辐射推拉窗1套。</w:t>
            </w:r>
          </w:p>
          <w:p w14:paraId="03889E19">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F.舱内左侧长医疗柜PVC轻型环保材料、蓝色抗辐射推拉窗；平台边缘突出3CM，1套。</w:t>
            </w:r>
          </w:p>
          <w:p w14:paraId="2C790F2D">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J.舱内左侧立式多层设备支架：三层上下可调节，带减震棉1套。</w:t>
            </w:r>
          </w:p>
          <w:p w14:paraId="2A10609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H.输液挂钩：2个折叠挂钩，未使用时此装置可向舱顶收起，避免对人员造成损伤1套。</w:t>
            </w:r>
          </w:p>
          <w:p w14:paraId="642FA24D">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I.舱门顶部边缘软包：舱内顶部边缘软包处理，纤维仿真皮，防止碰撞1套。</w:t>
            </w:r>
          </w:p>
          <w:p w14:paraId="45CFB3D8">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G.隔音装置：医疗舱车体侧围及顶部用EVA隔音材料，降低医疗舱噪音，隔音材料复合JT/T1095-2016标准1套。</w:t>
            </w:r>
          </w:p>
          <w:p w14:paraId="5FC8DDD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K.医疗舱内饰采用皮质软包，医疗舱乘客椅采用皮质软包。</w:t>
            </w:r>
          </w:p>
          <w:p w14:paraId="21BFBB61">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L.全车采用PVC拼版工艺，板材收边弯折位置、美观锐角处理时应使用PVC封边条。</w:t>
            </w:r>
          </w:p>
          <w:p w14:paraId="72EF4A2A">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M.医疗柜体开门、抽屉闭合处采用铝合金拉手锁，产品外露不应有明显疵点、划痕、气孔、凹坑、飞边、锋棱、毛刺等缺陷。连接处应牢固圆整光滑不应有裂纹。</w:t>
            </w:r>
          </w:p>
          <w:p w14:paraId="218FB317">
            <w:pPr>
              <w:ind w:left="0"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N.医用地板：医用地板耐磨、耐老化、防滑防霉易清洗，阻燃性符合GB8410-2016标准；1套，医用地板下置PVC阻燃板1套。</w:t>
            </w:r>
          </w:p>
        </w:tc>
      </w:tr>
      <w:tr w14:paraId="5E5B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687FB17F">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305" w:type="dxa"/>
            <w:vAlign w:val="center"/>
          </w:tcPr>
          <w:p w14:paraId="271DBBD6">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空调排风系统</w:t>
            </w:r>
          </w:p>
        </w:tc>
        <w:tc>
          <w:tcPr>
            <w:tcW w:w="7312" w:type="dxa"/>
            <w:vAlign w:val="top"/>
          </w:tcPr>
          <w:p w14:paraId="212D0AA7">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A.空调系统：前后独立控制、可调节风速，内部焊接空调支架1套。</w:t>
            </w:r>
          </w:p>
          <w:p w14:paraId="20CC66E0">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eastAsia="宋体" w:cs="宋体"/>
                <w:b w:val="0"/>
                <w:bCs w:val="0"/>
                <w:color w:val="auto"/>
                <w:sz w:val="21"/>
                <w:szCs w:val="21"/>
                <w:lang w:val="en-US" w:eastAsia="zh-CN"/>
              </w:rPr>
              <w:t>双向换气扇：</w:t>
            </w:r>
            <w:r>
              <w:rPr>
                <w:rFonts w:hint="eastAsia" w:ascii="宋体" w:hAnsi="宋体" w:eastAsia="宋体" w:cs="宋体"/>
                <w:b w:val="0"/>
                <w:bCs w:val="0"/>
                <w:color w:val="auto"/>
                <w:sz w:val="21"/>
                <w:szCs w:val="21"/>
                <w:highlight w:val="none"/>
                <w:lang w:val="en-US" w:eastAsia="zh-CN"/>
              </w:rPr>
              <w:t>车厢内换气次数30次/小时，排气量7.5m3/min1套。</w:t>
            </w:r>
          </w:p>
          <w:p w14:paraId="6E4F3843">
            <w:pPr>
              <w:ind w:left="0"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C.暖风系统：暖风独立控制、可调节风速1套。</w:t>
            </w:r>
          </w:p>
        </w:tc>
      </w:tr>
      <w:tr w14:paraId="5B49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0" w:type="dxa"/>
            <w:vAlign w:val="center"/>
          </w:tcPr>
          <w:p w14:paraId="084BD584">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05" w:type="dxa"/>
            <w:vAlign w:val="center"/>
          </w:tcPr>
          <w:p w14:paraId="0509A208">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照明、消毒系统</w:t>
            </w:r>
          </w:p>
        </w:tc>
        <w:tc>
          <w:tcPr>
            <w:tcW w:w="7312" w:type="dxa"/>
            <w:vAlign w:val="top"/>
          </w:tcPr>
          <w:p w14:paraId="54CC72E0">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A.紫外线消毒灯：消毒灯具备定时延时开启功能1套。</w:t>
            </w:r>
          </w:p>
          <w:p w14:paraId="5A42F97C">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B.医用射灯：3*1W色温中性白2套。</w:t>
            </w:r>
          </w:p>
          <w:p w14:paraId="0B5CC8FB">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C.顶部照明灯：LED高亮超长照明灯，亮度可调2套。</w:t>
            </w:r>
          </w:p>
          <w:p w14:paraId="45ACF693">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D.后尾部场外照明灯：12V、投光灯、正白光1套。</w:t>
            </w:r>
          </w:p>
        </w:tc>
      </w:tr>
      <w:tr w14:paraId="2DC1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Align w:val="center"/>
          </w:tcPr>
          <w:p w14:paraId="32993CA9">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05" w:type="dxa"/>
            <w:vAlign w:val="center"/>
          </w:tcPr>
          <w:p w14:paraId="7AF98BF1">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一体化智能电源控制系统</w:t>
            </w:r>
          </w:p>
        </w:tc>
        <w:tc>
          <w:tcPr>
            <w:tcW w:w="7312" w:type="dxa"/>
            <w:vAlign w:val="top"/>
          </w:tcPr>
          <w:p w14:paraId="58AA3941">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★A.救护车电源系统必须为一体化智能电源控制系统，提供检测报告名称相符合，否则为无</w:t>
            </w:r>
            <w:r>
              <w:rPr>
                <w:rFonts w:hint="eastAsia" w:ascii="宋体" w:hAnsi="宋体" w:eastAsia="宋体" w:cs="宋体"/>
                <w:b w:val="0"/>
                <w:bCs w:val="0"/>
                <w:color w:val="auto"/>
                <w:sz w:val="21"/>
                <w:szCs w:val="21"/>
                <w:lang w:val="en-US" w:eastAsia="zh-CN"/>
              </w:rPr>
              <w:t>效</w:t>
            </w:r>
            <w:r>
              <w:rPr>
                <w:rFonts w:hint="eastAsia" w:ascii="宋体" w:hAnsi="宋体" w:cs="宋体"/>
                <w:b w:val="0"/>
                <w:bCs w:val="0"/>
                <w:color w:val="auto"/>
                <w:sz w:val="21"/>
                <w:szCs w:val="21"/>
                <w:lang w:val="en-US" w:eastAsia="zh-CN"/>
              </w:rPr>
              <w:t>报价</w:t>
            </w:r>
            <w:r>
              <w:rPr>
                <w:rFonts w:hint="eastAsia" w:ascii="宋体" w:hAnsi="宋体" w:eastAsia="宋体" w:cs="宋体"/>
                <w:b w:val="0"/>
                <w:bCs w:val="0"/>
                <w:color w:val="auto"/>
                <w:sz w:val="21"/>
                <w:szCs w:val="21"/>
                <w:lang w:val="en-US" w:eastAsia="zh-CN"/>
              </w:rPr>
              <w:t>。</w:t>
            </w:r>
          </w:p>
          <w:p w14:paraId="72249343">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B.一体化智能电源控制系统接口参数配置：</w:t>
            </w:r>
          </w:p>
          <w:p w14:paraId="0DCD32EA">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①配置≧2路，支持300A直流输入口，可支持车载主副蓄电池接入；</w:t>
            </w:r>
          </w:p>
          <w:p w14:paraId="2ACEBE96">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②配置≧3路（带10A保险保护）可扩展至30A直流输出口，可支持医疗舱环境照明灯光和直流插座接入；</w:t>
            </w:r>
          </w:p>
          <w:p w14:paraId="53642660">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③配置≧5路（带5A保险保护）可扩展至30A直流输出口，可支持医疗舱门控灯、输液灯、换气扇、后照明灯、消毒灯等接入；</w:t>
            </w:r>
          </w:p>
          <w:p w14:paraId="21DE9FB0">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配置≧1路交流输出口，输出电压：210-230V，功率≧1500W，波形：纯正弦波，频率：约50HZ，可供医疗舱的交流用的设备使用；（响应文件中须提供具备上述接口参数配置由国家认可的检测中心出具的检验报告，加盖生产厂家公章）</w:t>
            </w:r>
          </w:p>
          <w:p w14:paraId="0B538EF9">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⑤配置≧9路触发信号接口，可支持医疗舱内控制开关面板接入；</w:t>
            </w:r>
          </w:p>
          <w:p w14:paraId="0C6B494A">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★⑥配置≧1路串行通讯口，支持modbus协议通讯，可与上位机操作软件进行通信；（响应文件中须提供具备上述接口参数配置由国家认可的检测中心出具的检验报告，加盖生产厂家公章）</w:t>
            </w:r>
          </w:p>
          <w:p w14:paraId="2AE5E322">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⑦配置≧1路交流输入口，可支持在蓄电池亏电的情况下对其充电和供医疗舱的交流用的设备使用；</w:t>
            </w:r>
          </w:p>
          <w:p w14:paraId="5782533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⑧配置≧4路（带20A保险保护）可扩展至30A和≧2路（带15A保险保护）可扩展至30A直流输出口，可支持医疗舱直流插座接入。</w:t>
            </w:r>
          </w:p>
          <w:p w14:paraId="01EAF193">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C.一体化智能电源控制系统功能要求：</w:t>
            </w:r>
          </w:p>
          <w:p w14:paraId="13193979">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①直流输入电压报警：过压报警≧15.00V;低压报警≦10.50V;低压关机≦10.00V；</w:t>
            </w:r>
          </w:p>
          <w:p w14:paraId="68AA658C">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②输出功率过载报警保护：瞬时功率≧105%预警，≧120%报警，≧180%瞬时关断；</w:t>
            </w:r>
          </w:p>
          <w:p w14:paraId="66033876">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③过温报警保护：温度≧45°C预警并启动风速扇热；≧75°C报警并瞬时关断；</w:t>
            </w:r>
          </w:p>
          <w:p w14:paraId="1A7A6EFA">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14:paraId="68C372DB">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⑤智能充电：支持三段式充电：恒流、恒压、浮充，输出最大电流≧15.8A、电压≧14.6V、功率≧180W；</w:t>
            </w:r>
          </w:p>
          <w:p w14:paraId="2DD28B9B">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★⑥自动关机：整机在输入的触发信号断开5分钟后，系统能够自动关机，时间可以通过串口设置；（响应文件中须提供具备上述功能由国家认可的检测中心出具的检验报告，加盖生产厂家公章）</w:t>
            </w:r>
          </w:p>
          <w:p w14:paraId="658F41EC">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⑦显示信息：前面板带LCD显示屏，可显示当前直流输入电压，输出电压、频率、负载率，电池剩余容量，报警代码等信息；</w:t>
            </w:r>
          </w:p>
          <w:p w14:paraId="12DCD9C3">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★⑧为了适应不同的医疗救护场景</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便于蓄电池充放电智能管理须支持不少于4情景预设与调用，如输入电压智能</w:t>
            </w:r>
            <w:r>
              <w:rPr>
                <w:rFonts w:hint="eastAsia" w:ascii="宋体" w:hAnsi="宋体" w:eastAsia="宋体" w:cs="宋体"/>
                <w:b w:val="0"/>
                <w:bCs w:val="0"/>
                <w:color w:val="auto"/>
                <w:sz w:val="21"/>
                <w:szCs w:val="21"/>
                <w:lang w:val="en-US" w:eastAsia="zh-CN"/>
              </w:rPr>
              <w:t>趋势分析、固定电压阈值运行模式等，调用方式可以支持拨码开关和串口设置；（响应文件中须提供具备上述功能由国家认可的检测中心出具的检验报告，加盖生产</w:t>
            </w:r>
            <w:r>
              <w:rPr>
                <w:rFonts w:hint="eastAsia" w:ascii="宋体" w:hAnsi="宋体" w:eastAsia="宋体" w:cs="宋体"/>
                <w:sz w:val="21"/>
                <w:szCs w:val="21"/>
                <w:lang w:val="en-US" w:eastAsia="zh-CN"/>
              </w:rPr>
              <w:t>厂家公章）</w:t>
            </w:r>
          </w:p>
          <w:p w14:paraId="35EE7C61">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9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⑨</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UPS切换时间≦5ms，，系统在市电输入与逆变输出间自动切换不影响医疗舱设备运行，从而实现对医疗舱交流不间断供电；</w:t>
            </w:r>
          </w:p>
          <w:p w14:paraId="5F8E854F">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10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⑩</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不间断供电：在直流输入电压≧12V（即车辆启动状态）且无交流电输入状态下，可实现≧96小时不间断输出交流电压≧220V、功率≧1200W。（响应文件中须提供具备上述功能由国家认可的检测中心出具的检验报告，加盖生产厂家公章）</w:t>
            </w:r>
          </w:p>
          <w:p w14:paraId="119A715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★E.一体化智能电源控制系统逆变系统</w:t>
            </w:r>
          </w:p>
          <w:p w14:paraId="7C0D9917">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逆变器输出功率≥1500W，纯正弦波逆变电源:集逆变、自动充电于一体，并集成在一体化智能电源控制系统内，无需另行安装（提供实物图片证明并且附有内部布局说明图），正弦波输出，稳频稳压，纹波小,为能确保救护车上各种医疗设备等精密仪器的稳定安全运行，并且由一体化智能电源控制系统生产厂家针对本项目提供承诺书，承诺如后期医疗设备在救护车上使用过程中，因该一体化智能电源控制系统不稳定，导致医疗设备损坏，维修，换机等一切费用由一体化智能电源控制系统生产厂家承担。在签订合同时</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必须提供一体化智能电源控制系统生产厂家营业执照原件、法人身份证原件、承诺书原件、生产许可证原件、检测报告原件等证明。否则不予签订合同。</w:t>
            </w:r>
          </w:p>
          <w:p w14:paraId="1F0B7C01">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F.交/直流插座</w:t>
            </w:r>
          </w:p>
          <w:p w14:paraId="74713882">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组合插座、可接三/二孔的多功能插座3-5个，12V交流插座2个1套。</w:t>
            </w:r>
          </w:p>
        </w:tc>
      </w:tr>
      <w:tr w14:paraId="4AC0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0" w:type="dxa"/>
            <w:vAlign w:val="center"/>
          </w:tcPr>
          <w:p w14:paraId="327D207D">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05" w:type="dxa"/>
            <w:vAlign w:val="center"/>
          </w:tcPr>
          <w:p w14:paraId="130EA802">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担架、座椅系统</w:t>
            </w:r>
          </w:p>
        </w:tc>
        <w:tc>
          <w:tcPr>
            <w:tcW w:w="7312" w:type="dxa"/>
            <w:vAlign w:val="top"/>
          </w:tcPr>
          <w:p w14:paraId="20025190">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A.朝前座椅：医疗舱右侧安装单人后背可调节式朝前座椅3套。</w:t>
            </w:r>
          </w:p>
          <w:p w14:paraId="65FE0557">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B.自动上车担架：自动上车担架1套。</w:t>
            </w:r>
          </w:p>
          <w:p w14:paraId="2ED55152">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C.自动上车担架配套担架平台：采用优质不锈钢材料制作，辅助担架上下车1套。</w:t>
            </w:r>
          </w:p>
          <w:p w14:paraId="74E5769C">
            <w:pPr>
              <w:ind w:left="0"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D.铲式担架：采用优质铝合金材料制作，置于左后门上1套。</w:t>
            </w:r>
          </w:p>
        </w:tc>
      </w:tr>
      <w:tr w14:paraId="537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40" w:type="dxa"/>
            <w:vAlign w:val="center"/>
          </w:tcPr>
          <w:p w14:paraId="0F4DD8F5">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305" w:type="dxa"/>
            <w:vAlign w:val="center"/>
          </w:tcPr>
          <w:p w14:paraId="7AFC0B73">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医疗警示外观系统</w:t>
            </w:r>
          </w:p>
        </w:tc>
        <w:tc>
          <w:tcPr>
            <w:tcW w:w="7312" w:type="dxa"/>
            <w:vAlign w:val="top"/>
          </w:tcPr>
          <w:p w14:paraId="7618448B">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A.车辆前部车顶安装超高亮度LED嵌入式风翼警灯1套，车尾部安装蓝色尾翼式警灯1套。</w:t>
            </w:r>
          </w:p>
          <w:p w14:paraId="1E22EE05">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B.车辆左右两侧各安装爆闪警示灯3套。</w:t>
            </w:r>
          </w:p>
          <w:p w14:paraId="1F0B1AB9">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C.车辆尾部LED爆闪警灯2套。</w:t>
            </w:r>
          </w:p>
          <w:p w14:paraId="4829E32F">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D.驾驶室安装警报、警灯控制器；工作方式:警报器面板控制； 警报器音调调节灯控制1套。</w:t>
            </w:r>
          </w:p>
          <w:p w14:paraId="1D95EC9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E.医疗舱玻璃窗膜1/2磨砂膜1套。</w:t>
            </w:r>
          </w:p>
          <w:p w14:paraId="587D2AF5">
            <w:pPr>
              <w:ind w:left="0"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F.车身外观：安装客户要求定制1套。</w:t>
            </w:r>
          </w:p>
        </w:tc>
      </w:tr>
      <w:tr w14:paraId="3895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40" w:type="dxa"/>
            <w:vAlign w:val="center"/>
          </w:tcPr>
          <w:p w14:paraId="5B6F7E10">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05" w:type="dxa"/>
            <w:vAlign w:val="center"/>
          </w:tcPr>
          <w:p w14:paraId="089F70D6">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供氧系统</w:t>
            </w:r>
          </w:p>
        </w:tc>
        <w:tc>
          <w:tcPr>
            <w:tcW w:w="7312" w:type="dxa"/>
            <w:vAlign w:val="top"/>
          </w:tcPr>
          <w:p w14:paraId="13BCEC19">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A.氧气管道：采用医用管作为氧气管道，无缝焊接，壁厚1.5mm1套。</w:t>
            </w:r>
          </w:p>
          <w:p w14:paraId="354BAA24">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B.氧气瓶≥10L、钢质无缝，含固定支架，4套。</w:t>
            </w:r>
          </w:p>
          <w:p w14:paraId="3FEA3183">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C.湿化器快速转换接口，插头体总成(氧气)2套。</w:t>
            </w:r>
          </w:p>
          <w:p w14:paraId="047C6532">
            <w:pPr>
              <w:ind w:left="0"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D.湿化器：流量调节阀和湿化杯连为一体，湿化杯可以360°旋转1套。</w:t>
            </w:r>
          </w:p>
          <w:p w14:paraId="48E2D96B">
            <w:pPr>
              <w:ind w:left="0" w:leftChars="0" w:right="0" w:rightChars="0"/>
              <w:rPr>
                <w:rFonts w:hint="eastAsia" w:ascii="宋体" w:hAnsi="宋体" w:eastAsia="宋体" w:cs="宋体"/>
                <w:sz w:val="21"/>
                <w:szCs w:val="21"/>
              </w:rPr>
            </w:pPr>
            <w:r>
              <w:rPr>
                <w:rFonts w:hint="eastAsia" w:ascii="宋体" w:hAnsi="宋体" w:eastAsia="宋体" w:cs="宋体"/>
                <w:sz w:val="21"/>
                <w:szCs w:val="21"/>
                <w:lang w:val="en-US" w:eastAsia="zh-CN"/>
              </w:rPr>
              <w:t>E.氧气终端</w:t>
            </w:r>
            <w:r>
              <w:rPr>
                <w:rFonts w:hint="eastAsia" w:ascii="宋体" w:hAnsi="宋体" w:eastAsia="宋体" w:cs="宋体"/>
                <w:color w:val="auto"/>
                <w:sz w:val="21"/>
                <w:szCs w:val="21"/>
                <w:highlight w:val="none"/>
                <w:lang w:val="en-US" w:eastAsia="zh-CN"/>
              </w:rPr>
              <w:t>：2套德标，2套国标，</w:t>
            </w:r>
            <w:r>
              <w:rPr>
                <w:rFonts w:hint="eastAsia" w:ascii="宋体" w:hAnsi="宋体" w:eastAsia="宋体" w:cs="宋体"/>
                <w:sz w:val="21"/>
                <w:szCs w:val="21"/>
                <w:lang w:val="en-US" w:eastAsia="zh-CN"/>
              </w:rPr>
              <w:t>其中吸氧用终端连接湿化器，呼吸机用的终端连接呼吸机专用接头4套。</w:t>
            </w:r>
          </w:p>
        </w:tc>
      </w:tr>
    </w:tbl>
    <w:p w14:paraId="7127317C">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2.商务要求</w:t>
      </w:r>
    </w:p>
    <w:tbl>
      <w:tblPr>
        <w:tblStyle w:val="21"/>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7489"/>
      </w:tblGrid>
      <w:tr w14:paraId="7E41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14:paraId="28DAA0D6">
            <w:pPr>
              <w:pStyle w:val="28"/>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val="0"/>
                <w:color w:val="auto"/>
                <w:kern w:val="0"/>
                <w:sz w:val="21"/>
                <w:szCs w:val="21"/>
                <w:vertAlign w:val="baseline"/>
                <w:lang w:val="en-US" w:eastAsia="zh-CN"/>
              </w:rPr>
            </w:pPr>
            <w:r>
              <w:rPr>
                <w:rFonts w:hint="eastAsia" w:ascii="宋体" w:hAnsi="宋体" w:eastAsia="宋体" w:cs="宋体"/>
                <w:b/>
                <w:bCs w:val="0"/>
                <w:color w:val="auto"/>
                <w:kern w:val="0"/>
                <w:sz w:val="21"/>
                <w:szCs w:val="21"/>
                <w:vertAlign w:val="baseline"/>
                <w:lang w:val="en-US" w:eastAsia="zh-CN"/>
              </w:rPr>
              <w:t>服务要求</w:t>
            </w:r>
          </w:p>
        </w:tc>
        <w:tc>
          <w:tcPr>
            <w:tcW w:w="7489" w:type="dxa"/>
          </w:tcPr>
          <w:p w14:paraId="05127F5E">
            <w:pPr>
              <w:pStyle w:val="28"/>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color w:val="auto"/>
                <w:kern w:val="0"/>
                <w:sz w:val="21"/>
                <w:szCs w:val="21"/>
                <w:vertAlign w:val="baseline"/>
                <w:lang w:val="en-US" w:eastAsia="zh-CN"/>
              </w:rPr>
            </w:pPr>
            <w:r>
              <w:rPr>
                <w:rFonts w:hint="eastAsia" w:ascii="宋体" w:hAnsi="宋体" w:eastAsia="宋体" w:cs="宋体"/>
                <w:b/>
                <w:bCs w:val="0"/>
                <w:color w:val="auto"/>
                <w:kern w:val="0"/>
                <w:sz w:val="21"/>
                <w:szCs w:val="21"/>
                <w:vertAlign w:val="baseline"/>
                <w:lang w:val="en-US" w:eastAsia="zh-CN"/>
              </w:rPr>
              <w:t>内容</w:t>
            </w:r>
          </w:p>
        </w:tc>
      </w:tr>
      <w:tr w14:paraId="4332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14:paraId="0D8D6AB0">
            <w:pPr>
              <w:pStyle w:val="28"/>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val="0"/>
                <w:bCs w:val="0"/>
                <w:color w:val="auto"/>
                <w:sz w:val="21"/>
                <w:szCs w:val="21"/>
                <w:lang w:val="en-US" w:eastAsia="zh-CN"/>
              </w:rPr>
              <w:t>供应商资质</w:t>
            </w:r>
          </w:p>
        </w:tc>
        <w:tc>
          <w:tcPr>
            <w:tcW w:w="7489" w:type="dxa"/>
          </w:tcPr>
          <w:p w14:paraId="07A15FFC">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1.国内注册【依法在市场监督管理部门（或行政审批部门）登记注册】的，具备合法资格的供应商；</w:t>
            </w:r>
          </w:p>
          <w:p w14:paraId="477840BC">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2.参加本议价采购活动前三年内，在经营活动中没有重大违法记录；</w:t>
            </w:r>
          </w:p>
          <w:p w14:paraId="27C5D711">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3.本项目不接受在“信用中国”网站(www.creditchina.gov.cn)被列入失信被执行人、重大税收违法失信主体、严重违法失信行为记录名单的供应商参与报价；</w:t>
            </w:r>
          </w:p>
          <w:p w14:paraId="02C4CA03">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4.本项目不接受联合体参与报价。</w:t>
            </w:r>
          </w:p>
        </w:tc>
      </w:tr>
      <w:tr w14:paraId="4274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shd w:val="clear" w:color="auto" w:fill="auto"/>
            <w:vAlign w:val="top"/>
          </w:tcPr>
          <w:p w14:paraId="3526ADE4">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交货期及地点</w:t>
            </w:r>
          </w:p>
        </w:tc>
        <w:tc>
          <w:tcPr>
            <w:tcW w:w="7489" w:type="dxa"/>
            <w:shd w:val="clear" w:color="auto" w:fill="auto"/>
            <w:vAlign w:val="top"/>
          </w:tcPr>
          <w:p w14:paraId="0132FFE0">
            <w:pPr>
              <w:ind w:left="0" w:leftChars="0" w:right="0" w:right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1.交货期：签订合同后</w:t>
            </w:r>
            <w:r>
              <w:rPr>
                <w:rFonts w:hint="eastAsia" w:ascii="宋体" w:hAnsi="宋体" w:eastAsia="宋体" w:cs="宋体"/>
                <w:b w:val="0"/>
                <w:bCs w:val="0"/>
                <w:color w:val="auto"/>
                <w:sz w:val="21"/>
                <w:szCs w:val="21"/>
                <w:lang w:val="en-US" w:eastAsia="zh-CN"/>
              </w:rPr>
              <w:t>15个工作日内必须全部供完货物及完成安装调试。</w:t>
            </w:r>
          </w:p>
          <w:p w14:paraId="158D9567">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2.交货地点：广西桂林市</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院</w:t>
            </w:r>
            <w:r>
              <w:rPr>
                <w:rFonts w:hint="eastAsia" w:ascii="宋体" w:hAnsi="宋体" w:eastAsia="宋体" w:cs="宋体"/>
                <w:color w:val="auto"/>
                <w:sz w:val="21"/>
                <w:szCs w:val="21"/>
                <w:lang w:val="en-US" w:eastAsia="zh-CN"/>
              </w:rPr>
              <w:t>内指定地点。</w:t>
            </w:r>
          </w:p>
        </w:tc>
      </w:tr>
      <w:tr w14:paraId="59F4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14:paraId="228B1C05">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付款方式</w:t>
            </w:r>
          </w:p>
          <w:p w14:paraId="63E16E8D">
            <w:pPr>
              <w:ind w:left="0" w:leftChars="0" w:right="0" w:rightChars="0"/>
              <w:jc w:val="left"/>
              <w:rPr>
                <w:rFonts w:hint="eastAsia" w:ascii="宋体" w:hAnsi="宋体" w:eastAsia="宋体" w:cs="宋体"/>
                <w:color w:val="auto"/>
                <w:sz w:val="21"/>
                <w:szCs w:val="21"/>
                <w:lang w:val="en-US" w:eastAsia="zh-CN"/>
              </w:rPr>
            </w:pPr>
          </w:p>
        </w:tc>
        <w:tc>
          <w:tcPr>
            <w:tcW w:w="7489" w:type="dxa"/>
          </w:tcPr>
          <w:p w14:paraId="31D0C215">
            <w:pPr>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合同签订后，自验收合格收到正规等额、有效发票之日起60个工作日后支付合同价款的95%，合同价款的5%作为履约保证金，质保期满30个工作日后付清（无息）。</w:t>
            </w:r>
          </w:p>
        </w:tc>
      </w:tr>
      <w:tr w14:paraId="182C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tcPr>
          <w:p w14:paraId="07226F3A">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质量要求及验收标准</w:t>
            </w:r>
          </w:p>
          <w:p w14:paraId="6961EA04">
            <w:pPr>
              <w:ind w:left="0" w:leftChars="0" w:right="0" w:rightChars="0"/>
              <w:jc w:val="left"/>
              <w:rPr>
                <w:rFonts w:hint="eastAsia" w:ascii="宋体" w:hAnsi="宋体" w:eastAsia="宋体" w:cs="宋体"/>
                <w:color w:val="auto"/>
                <w:sz w:val="21"/>
                <w:szCs w:val="21"/>
                <w:highlight w:val="none"/>
                <w:lang w:val="en-US" w:eastAsia="zh-CN"/>
              </w:rPr>
            </w:pPr>
          </w:p>
        </w:tc>
        <w:tc>
          <w:tcPr>
            <w:tcW w:w="7489" w:type="dxa"/>
          </w:tcPr>
          <w:p w14:paraId="1CBE0A7F">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1.质量要求：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所提供的产品必须为原装正品的、全新的、完好无破损的产品，产品应符合相关国家标准、行业标准、地方标准或者其他标准、规范等有关质量标准及制造厂家合格产品的厂质量标准；货物到货交付时，</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于现场根据</w:t>
            </w:r>
            <w:r>
              <w:rPr>
                <w:rFonts w:hint="eastAsia" w:ascii="宋体" w:hAnsi="宋体" w:cs="宋体"/>
                <w:color w:val="auto"/>
                <w:sz w:val="21"/>
                <w:szCs w:val="21"/>
                <w:highlight w:val="none"/>
                <w:lang w:val="en-US" w:eastAsia="zh-CN"/>
              </w:rPr>
              <w:t>议价文件</w:t>
            </w:r>
            <w:r>
              <w:rPr>
                <w:rFonts w:hint="eastAsia" w:ascii="宋体" w:hAnsi="宋体" w:eastAsia="宋体" w:cs="宋体"/>
                <w:color w:val="auto"/>
                <w:sz w:val="21"/>
                <w:szCs w:val="21"/>
                <w:highlight w:val="none"/>
                <w:lang w:val="en-US" w:eastAsia="zh-CN"/>
              </w:rPr>
              <w:t>要求及</w:t>
            </w:r>
            <w:r>
              <w:rPr>
                <w:rFonts w:hint="eastAsia" w:ascii="宋体" w:hAnsi="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承诺逐条对应进行核验，核验不合格的，不予验收，</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有权终止合同执行并全部退货，由此造成</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损失的由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负责承担全部赔偿责任。</w:t>
            </w:r>
          </w:p>
          <w:p w14:paraId="2F7D80AD">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2.验收标准：</w:t>
            </w:r>
          </w:p>
          <w:p w14:paraId="4D282C0E">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议价文件</w:t>
            </w:r>
            <w:r>
              <w:rPr>
                <w:rFonts w:hint="eastAsia" w:ascii="宋体" w:hAnsi="宋体" w:eastAsia="宋体" w:cs="宋体"/>
                <w:color w:val="auto"/>
                <w:sz w:val="21"/>
                <w:szCs w:val="21"/>
                <w:highlight w:val="none"/>
                <w:lang w:val="en-US" w:eastAsia="zh-CN"/>
              </w:rPr>
              <w:t>要求，</w:t>
            </w:r>
            <w:r>
              <w:rPr>
                <w:rFonts w:hint="eastAsia" w:ascii="宋体" w:hAnsi="宋体" w:cs="宋体"/>
                <w:color w:val="auto"/>
                <w:sz w:val="21"/>
                <w:szCs w:val="21"/>
                <w:highlight w:val="none"/>
                <w:lang w:val="en-US" w:eastAsia="zh-CN"/>
              </w:rPr>
              <w:t>供应商</w:t>
            </w:r>
            <w:r>
              <w:rPr>
                <w:rFonts w:hint="eastAsia" w:cs="宋体"/>
                <w:b w:val="0"/>
                <w:bCs/>
                <w:color w:val="auto"/>
                <w:kern w:val="0"/>
                <w:sz w:val="21"/>
                <w:szCs w:val="21"/>
                <w:highlight w:val="none"/>
                <w:lang w:val="en-US" w:eastAsia="zh-CN"/>
              </w:rPr>
              <w:t>按报价文件中</w:t>
            </w:r>
            <w:r>
              <w:rPr>
                <w:rFonts w:hint="eastAsia" w:ascii="宋体" w:hAnsi="宋体" w:eastAsia="宋体" w:cs="宋体"/>
                <w:color w:val="auto"/>
                <w:sz w:val="21"/>
                <w:szCs w:val="21"/>
                <w:highlight w:val="none"/>
                <w:lang w:val="en-US" w:eastAsia="zh-CN"/>
              </w:rPr>
              <w:t>承诺及强制执行的国家相关标准、规范要求进行验收。</w:t>
            </w:r>
            <w:r>
              <w:rPr>
                <w:rFonts w:hint="eastAsia" w:ascii="宋体" w:hAnsi="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承诺必须是真实、有效的响应和承诺。</w:t>
            </w:r>
          </w:p>
          <w:p w14:paraId="07CDBB2D">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所提供的</w:t>
            </w:r>
            <w:r>
              <w:rPr>
                <w:rFonts w:hint="eastAsia" w:ascii="宋体" w:hAnsi="宋体" w:eastAsia="宋体" w:cs="宋体"/>
                <w:b w:val="0"/>
                <w:bCs w:val="0"/>
                <w:color w:val="auto"/>
                <w:sz w:val="21"/>
                <w:szCs w:val="21"/>
                <w:highlight w:val="none"/>
                <w:lang w:val="en-US" w:eastAsia="zh-CN"/>
              </w:rPr>
              <w:t>标的必须为原厂原装正品的、全新的、完好无破损的产品，产品应符合国家相关标准、规范等有关质量要求；标的到货</w:t>
            </w:r>
            <w:r>
              <w:rPr>
                <w:rFonts w:hint="eastAsia" w:ascii="宋体" w:hAnsi="宋体" w:eastAsia="宋体" w:cs="宋体"/>
                <w:color w:val="auto"/>
                <w:sz w:val="21"/>
                <w:szCs w:val="21"/>
                <w:highlight w:val="none"/>
                <w:lang w:val="en-US" w:eastAsia="zh-CN"/>
              </w:rPr>
              <w:t>安装前，</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于现场根据</w:t>
            </w:r>
            <w:r>
              <w:rPr>
                <w:rFonts w:hint="eastAsia" w:ascii="宋体" w:hAnsi="宋体" w:cs="宋体"/>
                <w:color w:val="auto"/>
                <w:sz w:val="21"/>
                <w:szCs w:val="21"/>
                <w:highlight w:val="none"/>
                <w:lang w:val="en-US" w:eastAsia="zh-CN"/>
              </w:rPr>
              <w:t>议价文件</w:t>
            </w:r>
            <w:r>
              <w:rPr>
                <w:rFonts w:hint="eastAsia" w:ascii="宋体" w:hAnsi="宋体" w:eastAsia="宋体" w:cs="宋体"/>
                <w:color w:val="auto"/>
                <w:sz w:val="21"/>
                <w:szCs w:val="21"/>
                <w:highlight w:val="none"/>
                <w:lang w:val="en-US" w:eastAsia="zh-CN"/>
              </w:rPr>
              <w:t>要求及</w:t>
            </w:r>
            <w:r>
              <w:rPr>
                <w:rFonts w:hint="eastAsia" w:ascii="宋体" w:hAnsi="宋体" w:cs="宋体"/>
                <w:color w:val="auto"/>
                <w:sz w:val="21"/>
                <w:szCs w:val="21"/>
                <w:highlight w:val="none"/>
                <w:lang w:val="en-US" w:eastAsia="zh-CN"/>
              </w:rPr>
              <w:t>供应商报价文件</w:t>
            </w:r>
            <w:r>
              <w:rPr>
                <w:rFonts w:hint="eastAsia" w:ascii="宋体" w:hAnsi="宋体" w:eastAsia="宋体" w:cs="宋体"/>
                <w:color w:val="auto"/>
                <w:sz w:val="21"/>
                <w:szCs w:val="21"/>
                <w:highlight w:val="none"/>
                <w:lang w:val="en-US" w:eastAsia="zh-CN"/>
              </w:rPr>
              <w:t>承诺逐条对应进行核验，核验不合格的，不予验收，</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有权解除合同，同时报相关监督管理部门处理，由此造成</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经济损失的由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负责承担全部赔偿责任和本项目合同金额20%的违约金。</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如有异议，将交由国家认可并具有检验检测资质的第三方机构进行检验，所有产生的费用由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承担，若核验结果的各项参数指标不满足</w:t>
            </w:r>
            <w:r>
              <w:rPr>
                <w:rFonts w:hint="eastAsia" w:ascii="宋体" w:hAnsi="宋体" w:cs="宋体"/>
                <w:color w:val="auto"/>
                <w:sz w:val="21"/>
                <w:szCs w:val="21"/>
                <w:highlight w:val="none"/>
                <w:lang w:val="en-US" w:eastAsia="zh-CN"/>
              </w:rPr>
              <w:t>议价文件</w:t>
            </w:r>
            <w:r>
              <w:rPr>
                <w:rFonts w:hint="eastAsia" w:ascii="宋体" w:hAnsi="宋体" w:eastAsia="宋体" w:cs="宋体"/>
                <w:color w:val="auto"/>
                <w:sz w:val="21"/>
                <w:szCs w:val="21"/>
                <w:highlight w:val="none"/>
                <w:lang w:val="en-US" w:eastAsia="zh-CN"/>
              </w:rPr>
              <w:t>要求及</w:t>
            </w:r>
            <w:r>
              <w:rPr>
                <w:rFonts w:hint="eastAsia" w:ascii="宋体" w:hAnsi="宋体" w:cs="宋体"/>
                <w:color w:val="auto"/>
                <w:sz w:val="21"/>
                <w:szCs w:val="21"/>
                <w:highlight w:val="none"/>
                <w:lang w:val="en-US" w:eastAsia="zh-CN"/>
              </w:rPr>
              <w:t>报价文件中</w:t>
            </w:r>
            <w:r>
              <w:rPr>
                <w:rFonts w:hint="eastAsia" w:ascii="宋体" w:hAnsi="宋体" w:eastAsia="宋体" w:cs="宋体"/>
                <w:color w:val="auto"/>
                <w:sz w:val="21"/>
                <w:szCs w:val="21"/>
                <w:highlight w:val="none"/>
                <w:lang w:val="en-US" w:eastAsia="zh-CN"/>
              </w:rPr>
              <w:t>承诺的指标要求，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同时承担虚假</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的相关法律责任。</w:t>
            </w:r>
          </w:p>
          <w:p w14:paraId="32E01412">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③验收其他要求按合同条款执行。</w:t>
            </w:r>
          </w:p>
          <w:p w14:paraId="06D2FC6C">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ascii="宋体" w:hAnsi="宋体" w:eastAsia="宋体" w:cs="宋体"/>
                <w:b w:val="0"/>
                <w:bCs/>
                <w:color w:val="auto"/>
                <w:kern w:val="0"/>
                <w:sz w:val="21"/>
                <w:szCs w:val="21"/>
                <w:highlight w:val="none"/>
                <w:lang w:val="en-US" w:eastAsia="zh-CN"/>
              </w:rPr>
              <w:t>3.在交付车辆时，供应商必须提供上好车辆牌(验证)所需的一切相关资料（如：整车合格证、机动车环保清单和强制性产品车辆一致性证书等）及随车的工具器材。应交付该车的全部真实、有效的证件以及缴税、费凭证。保证交付前该车的维护正常，手续完整，否则不予验收。</w:t>
            </w:r>
          </w:p>
        </w:tc>
      </w:tr>
      <w:tr w14:paraId="01F6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14:paraId="1D664E15">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违约责任</w:t>
            </w:r>
          </w:p>
        </w:tc>
        <w:tc>
          <w:tcPr>
            <w:tcW w:w="7489" w:type="dxa"/>
          </w:tcPr>
          <w:p w14:paraId="7852F96F">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所提供的货物规格、技术标准、材料等质量不合格的，应及时更换，更换不及时的按逾期交货处罚，</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支付合同金额5%违约金并赔偿</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经济损失。</w:t>
            </w:r>
          </w:p>
          <w:p w14:paraId="53628521">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提供的货物如果侵犯了第三方合法权益而引发的任何纠纷或诉讼，均由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负责交涉并承担全部责任；在履行本合同过程中非因</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的原因引发的诉讼，由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承担全部责任（包括不限于赔偿费、</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的经济损失费、律师费、仲裁费、诉讼费等费用，</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承担后，有权向第三方追偿）。</w:t>
            </w:r>
          </w:p>
          <w:p w14:paraId="5020F30D">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3.因包装、运输引起的货物损坏，按质量不合格处理。</w:t>
            </w:r>
          </w:p>
          <w:p w14:paraId="06FF3553">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无故延期接受货物、</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逾期交货的，每天向对方偿付合同金额3‰违约金，但违约金额不得超过合同金额5%，超过20天对方有权解除合同，违约方承担因此给对方造成的经济损失：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延期付货款的，每天向</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偿付逾期金额1‰违约金，但违约金累计不得超过逾期金额5%。</w:t>
            </w:r>
          </w:p>
          <w:p w14:paraId="4CA930CF">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未按本合同和</w:t>
            </w:r>
            <w:r>
              <w:rPr>
                <w:rFonts w:hint="eastAsia" w:ascii="宋体" w:hAnsi="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中规定的服务承诺提供售后服务的，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应每次按本合同合计金额2%向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支付违约金。</w:t>
            </w:r>
          </w:p>
          <w:p w14:paraId="045C2D1A">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提供的货物在质保期内，因设计、工艺或材料的缺陷和其他质量原因造成的问题，由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负责，费用从合同价款中扣除，不足另补。</w:t>
            </w:r>
          </w:p>
          <w:p w14:paraId="1B79AFAF">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其他违约行为按违约货款额5%收取违约金并赔偿经济损失。</w:t>
            </w:r>
          </w:p>
        </w:tc>
      </w:tr>
      <w:tr w14:paraId="5CA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14:paraId="08D8D0E4">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其他商务要求</w:t>
            </w:r>
          </w:p>
          <w:p w14:paraId="29FC8289">
            <w:pPr>
              <w:ind w:left="0" w:leftChars="0" w:right="0" w:rightChars="0"/>
              <w:jc w:val="left"/>
              <w:rPr>
                <w:rFonts w:hint="eastAsia" w:ascii="宋体" w:hAnsi="宋体" w:eastAsia="宋体" w:cs="宋体"/>
                <w:color w:val="auto"/>
                <w:sz w:val="21"/>
                <w:szCs w:val="21"/>
                <w:highlight w:val="none"/>
                <w:lang w:val="en-US" w:eastAsia="zh-CN"/>
              </w:rPr>
            </w:pPr>
          </w:p>
        </w:tc>
        <w:tc>
          <w:tcPr>
            <w:tcW w:w="7489" w:type="dxa"/>
          </w:tcPr>
          <w:p w14:paraId="4F97F186">
            <w:pPr>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应保证针对本项目的货物涉及到的知识产权和所提供的相关技术资料是合法取得，并享有完整的知识产权，不会因为</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的使用而被责令停止使用，追偿或要求赔偿损失，如出现此情况，一切经济和法律责任均由</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承担。</w:t>
            </w:r>
          </w:p>
          <w:p w14:paraId="3CA97AF2">
            <w:pPr>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应充分考虑供货成本及参数要求，如</w:t>
            </w: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恶意低价竞争、且</w:t>
            </w:r>
            <w:r>
              <w:rPr>
                <w:rFonts w:hint="eastAsia" w:ascii="宋体" w:hAnsi="宋体"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lang w:val="en-US" w:eastAsia="zh-CN"/>
              </w:rPr>
              <w:t>后无法按要求提供货物或者所供货物无法满足</w:t>
            </w:r>
            <w:r>
              <w:rPr>
                <w:rFonts w:hint="eastAsia" w:ascii="宋体" w:hAnsi="宋体" w:cs="宋体"/>
                <w:b w:val="0"/>
                <w:bCs w:val="0"/>
                <w:color w:val="auto"/>
                <w:sz w:val="21"/>
                <w:szCs w:val="21"/>
                <w:highlight w:val="none"/>
                <w:lang w:val="en-US" w:eastAsia="zh-CN"/>
              </w:rPr>
              <w:t>议价文件</w:t>
            </w:r>
            <w:r>
              <w:rPr>
                <w:rFonts w:hint="eastAsia" w:ascii="宋体" w:hAnsi="宋体" w:eastAsia="宋体" w:cs="宋体"/>
                <w:b w:val="0"/>
                <w:bCs w:val="0"/>
                <w:color w:val="auto"/>
                <w:sz w:val="21"/>
                <w:szCs w:val="21"/>
                <w:highlight w:val="none"/>
                <w:lang w:val="en-US" w:eastAsia="zh-CN"/>
              </w:rPr>
              <w:t>及</w:t>
            </w:r>
            <w:r>
              <w:rPr>
                <w:rFonts w:hint="eastAsia" w:ascii="宋体" w:hAnsi="宋体" w:cs="宋体"/>
                <w:b w:val="0"/>
                <w:bCs w:val="0"/>
                <w:color w:val="auto"/>
                <w:sz w:val="21"/>
                <w:szCs w:val="21"/>
                <w:highlight w:val="none"/>
                <w:lang w:val="en-US" w:eastAsia="zh-CN"/>
              </w:rPr>
              <w:t>报价文件</w:t>
            </w:r>
            <w:r>
              <w:rPr>
                <w:rFonts w:hint="eastAsia" w:ascii="宋体" w:hAnsi="宋体" w:eastAsia="宋体" w:cs="宋体"/>
                <w:b w:val="0"/>
                <w:bCs w:val="0"/>
                <w:color w:val="auto"/>
                <w:sz w:val="21"/>
                <w:szCs w:val="21"/>
                <w:highlight w:val="none"/>
                <w:lang w:val="en-US" w:eastAsia="zh-CN"/>
              </w:rPr>
              <w:t>承诺要求的，</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有权全部退货，按违约处理，</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保留因耽误</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使用时间造成的损失进行赔偿的权利，移送司法机关诉诸法律手段，追究</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的法律责任，由此引发的一切后果由</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承担。</w:t>
            </w:r>
          </w:p>
          <w:p w14:paraId="25BBD960">
            <w:pPr>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供应商在本次</w:t>
            </w:r>
            <w:r>
              <w:rPr>
                <w:rFonts w:hint="eastAsia" w:cs="宋体"/>
                <w:b w:val="0"/>
                <w:bCs w:val="0"/>
                <w:color w:val="auto"/>
                <w:kern w:val="0"/>
                <w:sz w:val="21"/>
                <w:szCs w:val="21"/>
                <w:highlight w:val="none"/>
                <w:lang w:val="en-US" w:eastAsia="zh-CN"/>
              </w:rPr>
              <w:t>议价</w:t>
            </w:r>
            <w:r>
              <w:rPr>
                <w:rFonts w:hint="eastAsia" w:ascii="宋体" w:hAnsi="宋体" w:eastAsia="宋体" w:cs="宋体"/>
                <w:b w:val="0"/>
                <w:bCs w:val="0"/>
                <w:color w:val="auto"/>
                <w:kern w:val="0"/>
                <w:sz w:val="21"/>
                <w:szCs w:val="21"/>
                <w:highlight w:val="none"/>
                <w:lang w:val="en-US" w:eastAsia="zh-CN"/>
              </w:rPr>
              <w:t>活动中提供任何虚假材料，</w:t>
            </w:r>
            <w:r>
              <w:rPr>
                <w:rFonts w:hint="eastAsia" w:cs="宋体"/>
                <w:b w:val="0"/>
                <w:bCs w:val="0"/>
                <w:color w:val="auto"/>
                <w:kern w:val="0"/>
                <w:sz w:val="21"/>
                <w:szCs w:val="21"/>
                <w:highlight w:val="none"/>
                <w:lang w:val="en-US" w:eastAsia="zh-CN"/>
              </w:rPr>
              <w:t>报价文件按无效处理</w:t>
            </w:r>
            <w:r>
              <w:rPr>
                <w:rFonts w:hint="eastAsia" w:ascii="宋体" w:hAnsi="宋体" w:eastAsia="宋体" w:cs="宋体"/>
                <w:b w:val="0"/>
                <w:bCs w:val="0"/>
                <w:color w:val="auto"/>
                <w:kern w:val="0"/>
                <w:sz w:val="21"/>
                <w:szCs w:val="21"/>
                <w:highlight w:val="none"/>
                <w:lang w:val="en-US" w:eastAsia="zh-CN"/>
              </w:rPr>
              <w:t>；若</w:t>
            </w:r>
            <w:r>
              <w:rPr>
                <w:rFonts w:hint="eastAsia"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发现</w:t>
            </w:r>
            <w:r>
              <w:rPr>
                <w:rFonts w:hint="eastAsia"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提供虚假材料的，</w:t>
            </w:r>
            <w:r>
              <w:rPr>
                <w:rFonts w:hint="eastAsia"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lang w:val="en-US" w:eastAsia="zh-CN"/>
              </w:rPr>
              <w:t>须按照《中华人民共和国消费者权益保护法 》第55条规定，且民事赔偿并不免除违法供应商的行政与刑事责任。</w:t>
            </w:r>
          </w:p>
          <w:p w14:paraId="457BF3C7">
            <w:pPr>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报价应包括本次采购范围内货物价款、货物随配标准附件、包装、运输、装卸、保险（不含车辆保险）、税金（不含购置税）、货到位以及安装、安装所需辅材、调试、检验、售后服务、培训、保修、验收及其他所有成本费用的总和</w:t>
            </w:r>
            <w:r>
              <w:rPr>
                <w:rFonts w:hint="eastAsia"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供应商综合考虑在报价中。</w:t>
            </w:r>
          </w:p>
          <w:p w14:paraId="55C109F6">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5.不接受进口产品（即通过中国海关报关验放进入中国境内且产自关境外的产品）参与</w:t>
            </w:r>
            <w:r>
              <w:rPr>
                <w:rFonts w:hint="eastAsia" w:ascii="宋体" w:hAnsi="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lang w:val="en-US" w:eastAsia="zh-CN"/>
              </w:rPr>
              <w:t>，如有此类产品参与</w:t>
            </w:r>
            <w:r>
              <w:rPr>
                <w:rFonts w:hint="eastAsia" w:ascii="宋体" w:hAnsi="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lang w:val="en-US" w:eastAsia="zh-CN"/>
              </w:rPr>
              <w:t>的作无效处理。</w:t>
            </w:r>
          </w:p>
        </w:tc>
      </w:tr>
      <w:tr w14:paraId="7133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14:paraId="2A376E6D">
            <w:pPr>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售后服务</w:t>
            </w:r>
          </w:p>
        </w:tc>
        <w:tc>
          <w:tcPr>
            <w:tcW w:w="7489" w:type="dxa"/>
          </w:tcPr>
          <w:p w14:paraId="30B6E9AB">
            <w:pPr>
              <w:ind w:left="0" w:leftChars="0" w:right="0" w:rightChars="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提供的以下售后服务均应包含在报价中，</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不再就此另行支付任何费用：</w:t>
            </w:r>
          </w:p>
          <w:p w14:paraId="411070ED">
            <w:pPr>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1.按照国家有关产品“三包”规定执行“三包”，医疗仓保修期不得少于两年（自验收合格之日起计算），底盘</w:t>
            </w:r>
            <w:r>
              <w:rPr>
                <w:rFonts w:hint="eastAsia" w:ascii="宋体" w:hAnsi="宋体" w:cs="宋体"/>
                <w:sz w:val="21"/>
                <w:szCs w:val="21"/>
                <w:lang w:val="en-US" w:eastAsia="zh-CN"/>
              </w:rPr>
              <w:t>保修</w:t>
            </w:r>
            <w:r>
              <w:rPr>
                <w:rFonts w:hint="eastAsia" w:ascii="宋体" w:hAnsi="宋体" w:eastAsia="宋体" w:cs="宋体"/>
                <w:sz w:val="21"/>
                <w:szCs w:val="21"/>
                <w:lang w:val="en-US" w:eastAsia="zh-CN"/>
              </w:rPr>
              <w:t>不得少于3年或行驶里程6万公里（以先到为准）。</w:t>
            </w:r>
          </w:p>
          <w:p w14:paraId="46CB86AF">
            <w:pPr>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议价</w:t>
            </w:r>
            <w:r>
              <w:rPr>
                <w:rFonts w:hint="eastAsia" w:ascii="宋体" w:hAnsi="宋体" w:eastAsia="宋体" w:cs="宋体"/>
                <w:sz w:val="21"/>
                <w:szCs w:val="21"/>
                <w:lang w:val="en-US" w:eastAsia="zh-CN"/>
              </w:rPr>
              <w:t>范围内的货物送货上门、安装调试合格，并提供技术培训服务直至</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熟练操作各项功能。</w:t>
            </w:r>
          </w:p>
          <w:p w14:paraId="09E89031">
            <w:pPr>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3.保修期内非人为损坏，</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 xml:space="preserve">更换所有故障零配件，并提供设备的系统软件及硬件的安全性改版升级和技术支持，确保设备正常运行。 </w:t>
            </w:r>
          </w:p>
          <w:p w14:paraId="5A28B37E">
            <w:pPr>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4.保修期内设备发生故障时，2小时以内响应，24小时内派工程师到场时间。如需更换配件，小型配件3个工作日内更换完毕，大型配件7个工作日内更换完毕，要求更换的配件是原厂全新的零配件。</w:t>
            </w:r>
          </w:p>
          <w:p w14:paraId="7404402F">
            <w:pPr>
              <w:ind w:left="0"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协助</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完成车辆注册登记事宜。</w:t>
            </w:r>
          </w:p>
        </w:tc>
      </w:tr>
    </w:tbl>
    <w:p w14:paraId="5CEC20B2">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val="0"/>
          <w:bCs w:val="0"/>
          <w:sz w:val="24"/>
          <w:szCs w:val="24"/>
          <w:lang w:val="en-US" w:eastAsia="zh-CN"/>
        </w:rPr>
        <w:t>注：</w:t>
      </w:r>
      <w:r>
        <w:rPr>
          <w:rFonts w:hint="eastAsia" w:ascii="宋体" w:hAnsi="宋体" w:eastAsia="宋体" w:cs="宋体"/>
          <w:b/>
          <w:bCs/>
          <w:color w:val="FF0000"/>
          <w:sz w:val="24"/>
          <w:szCs w:val="24"/>
          <w:highlight w:val="none"/>
          <w:lang w:val="en-US" w:eastAsia="zh-CN"/>
        </w:rPr>
        <w:t>请供应商认真评估本项目“项目需求和说明”的规定，“</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均为实</w:t>
      </w:r>
      <w:r>
        <w:rPr>
          <w:rFonts w:hint="eastAsia" w:ascii="宋体" w:hAnsi="宋体" w:cs="宋体"/>
          <w:b/>
          <w:bCs/>
          <w:color w:val="FF0000"/>
          <w:sz w:val="24"/>
          <w:szCs w:val="24"/>
          <w:highlight w:val="none"/>
          <w:lang w:val="en-US" w:eastAsia="zh-CN"/>
        </w:rPr>
        <w:t>质性</w:t>
      </w:r>
      <w:r>
        <w:rPr>
          <w:rFonts w:hint="eastAsia" w:ascii="宋体" w:hAnsi="宋体" w:eastAsia="宋体" w:cs="宋体"/>
          <w:b/>
          <w:bCs/>
          <w:color w:val="FF0000"/>
          <w:sz w:val="24"/>
          <w:szCs w:val="24"/>
          <w:highlight w:val="none"/>
          <w:lang w:val="en-US" w:eastAsia="zh-CN"/>
        </w:rPr>
        <w:t>响应要求，若有任意一项偏离，报价文件按无效处理。</w:t>
      </w:r>
      <w:r>
        <w:rPr>
          <w:rFonts w:hint="eastAsia" w:ascii="宋体" w:hAnsi="宋体" w:eastAsia="宋体" w:cs="宋体"/>
          <w:b w:val="0"/>
          <w:sz w:val="24"/>
          <w:szCs w:val="24"/>
          <w:highlight w:val="none"/>
          <w:lang w:val="en-US" w:eastAsia="zh-CN"/>
        </w:rPr>
        <w:t xml:space="preserve">      </w:t>
      </w:r>
    </w:p>
    <w:p w14:paraId="1902E20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四、合同主要条款</w:t>
      </w:r>
    </w:p>
    <w:p w14:paraId="1B3E37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根据《中华人民共和国民法典》及相关法律、法规规定，按照</w:t>
      </w:r>
      <w:r>
        <w:rPr>
          <w:rFonts w:hint="eastAsia" w:ascii="宋体" w:hAnsi="宋体" w:cs="宋体"/>
          <w:sz w:val="24"/>
          <w:szCs w:val="24"/>
          <w:highlight w:val="none"/>
          <w:lang w:eastAsia="zh-CN"/>
        </w:rPr>
        <w:t>议价文件</w:t>
      </w:r>
      <w:r>
        <w:rPr>
          <w:rFonts w:hint="eastAsia" w:ascii="宋体" w:hAnsi="宋体" w:eastAsia="宋体" w:cs="宋体"/>
          <w:sz w:val="24"/>
          <w:szCs w:val="24"/>
          <w:highlight w:val="none"/>
        </w:rPr>
        <w:t>及</w:t>
      </w:r>
      <w:r>
        <w:rPr>
          <w:rFonts w:hint="eastAsia" w:ascii="宋体" w:hAnsi="宋体" w:cs="宋体"/>
          <w:sz w:val="24"/>
          <w:szCs w:val="24"/>
          <w:highlight w:val="none"/>
          <w:lang w:eastAsia="zh-CN"/>
        </w:rPr>
        <w:t>报价文件</w:t>
      </w:r>
      <w:r>
        <w:rPr>
          <w:rFonts w:hint="eastAsia" w:ascii="宋体" w:hAnsi="宋体" w:eastAsia="宋体" w:cs="宋体"/>
          <w:sz w:val="24"/>
          <w:szCs w:val="24"/>
          <w:highlight w:val="none"/>
        </w:rPr>
        <w:t>规定条款和乙方承诺，甲乙双方签订本合同。</w:t>
      </w:r>
    </w:p>
    <w:p w14:paraId="7B51C6D3">
      <w:pPr>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eastAsia="宋体" w:cs="宋体"/>
          <w:sz w:val="24"/>
          <w:szCs w:val="24"/>
        </w:rPr>
      </w:pPr>
      <w:r>
        <w:rPr>
          <w:rFonts w:hint="eastAsia" w:ascii="宋体" w:hAnsi="宋体" w:eastAsia="宋体" w:cs="宋体"/>
          <w:b/>
          <w:sz w:val="24"/>
          <w:szCs w:val="24"/>
        </w:rPr>
        <w:t>第一条  合同文件</w:t>
      </w:r>
    </w:p>
    <w:p w14:paraId="5DBF8592">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下列文件是构成本合同不可分割的部分：</w:t>
      </w:r>
    </w:p>
    <w:p w14:paraId="706D3920">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（1）乙方提交的报价表、技术响应表和商务响应表；</w:t>
      </w:r>
    </w:p>
    <w:p w14:paraId="4B0E9DAE">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）本合同协议书及有关补充资料；</w:t>
      </w:r>
    </w:p>
    <w:p w14:paraId="391D127E">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eastAsia="zh-CN"/>
        </w:rPr>
        <w:t>议价文件</w:t>
      </w:r>
      <w:r>
        <w:rPr>
          <w:rFonts w:hint="eastAsia" w:ascii="宋体" w:hAnsi="宋体" w:eastAsia="宋体" w:cs="宋体"/>
          <w:sz w:val="24"/>
          <w:szCs w:val="24"/>
        </w:rPr>
        <w:t>的条款要求；</w:t>
      </w:r>
    </w:p>
    <w:p w14:paraId="44D8ECAA">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）设备的配置明细清单。</w:t>
      </w:r>
    </w:p>
    <w:p w14:paraId="6FDE281F">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合同标的及金额</w:t>
      </w:r>
    </w:p>
    <w:p w14:paraId="5D235444">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1.合同标的</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4"/>
        <w:gridCol w:w="1579"/>
        <w:gridCol w:w="1051"/>
        <w:gridCol w:w="1186"/>
        <w:gridCol w:w="790"/>
        <w:gridCol w:w="694"/>
        <w:gridCol w:w="790"/>
        <w:gridCol w:w="1697"/>
      </w:tblGrid>
      <w:tr w14:paraId="17DED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 w:hRule="atLeast"/>
        </w:trPr>
        <w:tc>
          <w:tcPr>
            <w:tcW w:w="782" w:type="pct"/>
            <w:tcBorders>
              <w:top w:val="single" w:color="auto" w:sz="4" w:space="0"/>
              <w:left w:val="single" w:color="auto" w:sz="4" w:space="0"/>
              <w:bottom w:val="single" w:color="auto" w:sz="4" w:space="0"/>
              <w:right w:val="single" w:color="auto" w:sz="4" w:space="0"/>
            </w:tcBorders>
            <w:noWrap w:val="0"/>
            <w:vAlign w:val="center"/>
          </w:tcPr>
          <w:p w14:paraId="74F2FB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货物名称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6AC3D3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生产厂家</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4D36E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品牌、规格、型号</w:t>
            </w:r>
          </w:p>
        </w:tc>
        <w:tc>
          <w:tcPr>
            <w:tcW w:w="642" w:type="pct"/>
            <w:tcBorders>
              <w:top w:val="single" w:color="auto" w:sz="4" w:space="0"/>
              <w:left w:val="single" w:color="auto" w:sz="4" w:space="0"/>
              <w:bottom w:val="single" w:color="auto" w:sz="4" w:space="0"/>
              <w:right w:val="single" w:color="auto" w:sz="4" w:space="0"/>
            </w:tcBorders>
            <w:noWrap w:val="0"/>
            <w:vAlign w:val="center"/>
          </w:tcPr>
          <w:p w14:paraId="11A1AD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技术参数、性能、配置</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3FFFFF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①数量</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5B10DA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428" w:type="pct"/>
            <w:tcBorders>
              <w:top w:val="single" w:color="auto" w:sz="4" w:space="0"/>
              <w:left w:val="single" w:color="auto" w:sz="4" w:space="0"/>
              <w:bottom w:val="single" w:color="auto" w:sz="4" w:space="0"/>
              <w:right w:val="nil"/>
            </w:tcBorders>
            <w:noWrap w:val="0"/>
            <w:vAlign w:val="center"/>
          </w:tcPr>
          <w:p w14:paraId="2FD7DC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②单价</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4B94C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③单项合计=①数量×②单价</w:t>
            </w:r>
          </w:p>
        </w:tc>
      </w:tr>
      <w:tr w14:paraId="0954A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82" w:type="pct"/>
            <w:tcBorders>
              <w:top w:val="single" w:color="auto" w:sz="4" w:space="0"/>
              <w:left w:val="single" w:color="auto" w:sz="4" w:space="0"/>
              <w:bottom w:val="single" w:color="auto" w:sz="4" w:space="0"/>
              <w:right w:val="single" w:color="auto" w:sz="4" w:space="0"/>
            </w:tcBorders>
            <w:noWrap w:val="0"/>
            <w:vAlign w:val="center"/>
          </w:tcPr>
          <w:p w14:paraId="03503C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855" w:type="pct"/>
            <w:tcBorders>
              <w:top w:val="single" w:color="auto" w:sz="4" w:space="0"/>
              <w:left w:val="single" w:color="auto" w:sz="4" w:space="0"/>
              <w:bottom w:val="single" w:color="auto" w:sz="4" w:space="0"/>
              <w:right w:val="single" w:color="auto" w:sz="4" w:space="0"/>
            </w:tcBorders>
            <w:noWrap w:val="0"/>
            <w:vAlign w:val="center"/>
          </w:tcPr>
          <w:p w14:paraId="46C73F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3A70FA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642" w:type="pct"/>
            <w:tcBorders>
              <w:top w:val="single" w:color="auto" w:sz="4" w:space="0"/>
              <w:left w:val="single" w:color="auto" w:sz="4" w:space="0"/>
              <w:bottom w:val="single" w:color="auto" w:sz="4" w:space="0"/>
              <w:right w:val="single" w:color="auto" w:sz="4" w:space="0"/>
            </w:tcBorders>
            <w:noWrap w:val="0"/>
            <w:vAlign w:val="center"/>
          </w:tcPr>
          <w:p w14:paraId="79B63B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428" w:type="pct"/>
            <w:tcBorders>
              <w:top w:val="single" w:color="auto" w:sz="4" w:space="0"/>
              <w:left w:val="single" w:color="auto" w:sz="4" w:space="0"/>
              <w:bottom w:val="single" w:color="auto" w:sz="4" w:space="0"/>
              <w:right w:val="single" w:color="auto" w:sz="4" w:space="0"/>
            </w:tcBorders>
            <w:noWrap w:val="0"/>
            <w:vAlign w:val="center"/>
          </w:tcPr>
          <w:p w14:paraId="190C6D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79080D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428" w:type="pct"/>
            <w:tcBorders>
              <w:top w:val="single" w:color="auto" w:sz="4" w:space="0"/>
              <w:left w:val="single" w:color="auto" w:sz="4" w:space="0"/>
              <w:bottom w:val="single" w:color="auto" w:sz="4" w:space="0"/>
              <w:right w:val="nil"/>
            </w:tcBorders>
            <w:noWrap w:val="0"/>
            <w:vAlign w:val="center"/>
          </w:tcPr>
          <w:p w14:paraId="59ABD7B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78E748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r>
      <w:tr w14:paraId="3320B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trPr>
        <w:tc>
          <w:tcPr>
            <w:tcW w:w="3652" w:type="pct"/>
            <w:gridSpan w:val="6"/>
            <w:tcBorders>
              <w:top w:val="single" w:color="auto" w:sz="4" w:space="0"/>
              <w:left w:val="single" w:color="auto" w:sz="4" w:space="0"/>
              <w:bottom w:val="single" w:color="auto" w:sz="4" w:space="0"/>
              <w:right w:val="single" w:color="auto" w:sz="4" w:space="0"/>
            </w:tcBorders>
            <w:noWrap w:val="0"/>
            <w:vAlign w:val="top"/>
          </w:tcPr>
          <w:p w14:paraId="3068E1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合计金额</w:t>
            </w:r>
          </w:p>
        </w:tc>
        <w:tc>
          <w:tcPr>
            <w:tcW w:w="1347" w:type="pct"/>
            <w:gridSpan w:val="2"/>
            <w:tcBorders>
              <w:top w:val="single" w:color="auto" w:sz="4" w:space="0"/>
              <w:left w:val="single" w:color="auto" w:sz="4" w:space="0"/>
              <w:bottom w:val="single" w:color="auto" w:sz="4" w:space="0"/>
              <w:right w:val="single" w:color="auto" w:sz="4" w:space="0"/>
            </w:tcBorders>
            <w:noWrap w:val="0"/>
            <w:vAlign w:val="center"/>
          </w:tcPr>
          <w:p w14:paraId="6308FE7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sz w:val="24"/>
                <w:szCs w:val="24"/>
              </w:rPr>
            </w:pPr>
          </w:p>
        </w:tc>
      </w:tr>
    </w:tbl>
    <w:p w14:paraId="093FF88B">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2.合同的总金额（含税）为：（大写）</w:t>
      </w:r>
      <w:r>
        <w:rPr>
          <w:rFonts w:hint="eastAsia" w:ascii="宋体" w:hAnsi="宋体" w:eastAsia="宋体" w:cs="宋体"/>
          <w:sz w:val="24"/>
          <w:szCs w:val="24"/>
          <w:u w:val="single"/>
        </w:rPr>
        <w:t xml:space="preserve">     </w:t>
      </w: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2FA340">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第三条  质量保证</w:t>
      </w:r>
    </w:p>
    <w:p w14:paraId="6A33C962">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所提供的产品必须为原装正品的、全新的、完好无破损、且为未开箱状态的产品，产品应符合相关国家标准、行业标准、地方标准或者其他标准、规范等有关质量标准及制造厂家合格产品的厂质量标准；货物到货交付时，</w:t>
      </w:r>
      <w:r>
        <w:rPr>
          <w:rFonts w:hint="eastAsia" w:ascii="宋体" w:hAnsi="宋体" w:eastAsia="宋体" w:cs="宋体"/>
          <w:sz w:val="24"/>
          <w:szCs w:val="24"/>
          <w:lang w:eastAsia="zh-CN"/>
        </w:rPr>
        <w:t>甲方</w:t>
      </w:r>
      <w:r>
        <w:rPr>
          <w:rFonts w:hint="eastAsia" w:ascii="宋体" w:hAnsi="宋体" w:eastAsia="宋体" w:cs="宋体"/>
          <w:sz w:val="24"/>
          <w:szCs w:val="24"/>
        </w:rPr>
        <w:t>于现场根据</w:t>
      </w:r>
      <w:r>
        <w:rPr>
          <w:rFonts w:hint="eastAsia" w:ascii="宋体" w:hAnsi="宋体" w:cs="宋体"/>
          <w:sz w:val="24"/>
          <w:szCs w:val="24"/>
          <w:lang w:eastAsia="zh-CN"/>
        </w:rPr>
        <w:t>议价文件</w:t>
      </w:r>
      <w:r>
        <w:rPr>
          <w:rFonts w:hint="eastAsia" w:ascii="宋体" w:hAnsi="宋体" w:eastAsia="宋体" w:cs="宋体"/>
          <w:sz w:val="24"/>
          <w:szCs w:val="24"/>
        </w:rPr>
        <w:t>要求及</w:t>
      </w:r>
      <w:r>
        <w:rPr>
          <w:rFonts w:hint="eastAsia" w:ascii="宋体" w:hAnsi="宋体" w:cs="宋体"/>
          <w:sz w:val="24"/>
          <w:szCs w:val="24"/>
          <w:lang w:eastAsia="zh-CN"/>
        </w:rPr>
        <w:t>报价文件</w:t>
      </w:r>
      <w:r>
        <w:rPr>
          <w:rFonts w:hint="eastAsia" w:ascii="宋体" w:hAnsi="宋体" w:eastAsia="宋体" w:cs="宋体"/>
          <w:sz w:val="24"/>
          <w:szCs w:val="24"/>
        </w:rPr>
        <w:t>承诺逐条对应进行核验，核验不合格的，不予验收，</w:t>
      </w:r>
      <w:r>
        <w:rPr>
          <w:rFonts w:hint="eastAsia" w:ascii="宋体" w:hAnsi="宋体" w:eastAsia="宋体" w:cs="宋体"/>
          <w:sz w:val="24"/>
          <w:szCs w:val="24"/>
          <w:lang w:eastAsia="zh-CN"/>
        </w:rPr>
        <w:t>甲方</w:t>
      </w:r>
      <w:r>
        <w:rPr>
          <w:rFonts w:hint="eastAsia" w:ascii="宋体" w:hAnsi="宋体" w:eastAsia="宋体" w:cs="宋体"/>
          <w:sz w:val="24"/>
          <w:szCs w:val="24"/>
        </w:rPr>
        <w:t>有权终止合同执行并全部退货，由此造成</w:t>
      </w:r>
      <w:r>
        <w:rPr>
          <w:rFonts w:hint="eastAsia" w:ascii="宋体" w:hAnsi="宋体" w:eastAsia="宋体" w:cs="宋体"/>
          <w:sz w:val="24"/>
          <w:szCs w:val="24"/>
          <w:lang w:eastAsia="zh-CN"/>
        </w:rPr>
        <w:t>甲方</w:t>
      </w:r>
      <w:r>
        <w:rPr>
          <w:rFonts w:hint="eastAsia" w:ascii="宋体" w:hAnsi="宋体" w:eastAsia="宋体" w:cs="宋体"/>
          <w:sz w:val="24"/>
          <w:szCs w:val="24"/>
        </w:rPr>
        <w:t>损失的由</w:t>
      </w:r>
      <w:r>
        <w:rPr>
          <w:rFonts w:hint="eastAsia" w:ascii="宋体" w:hAnsi="宋体" w:eastAsia="宋体" w:cs="宋体"/>
          <w:sz w:val="24"/>
          <w:szCs w:val="24"/>
          <w:lang w:eastAsia="zh-CN"/>
        </w:rPr>
        <w:t>乙方</w:t>
      </w:r>
      <w:r>
        <w:rPr>
          <w:rFonts w:hint="eastAsia" w:ascii="宋体" w:hAnsi="宋体" w:eastAsia="宋体" w:cs="宋体"/>
          <w:sz w:val="24"/>
          <w:szCs w:val="24"/>
        </w:rPr>
        <w:t>负责承担全部赔偿责任。</w:t>
      </w:r>
    </w:p>
    <w:p w14:paraId="71EA3B98">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第四条  权利保证</w:t>
      </w:r>
    </w:p>
    <w:p w14:paraId="5951D5C0">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乙方保证所提供的标的涉及到的知识产权和相关技术资料是合法取得的，甲方在使用产品及服务时不会侵犯任何第三方的专利权、商标权、工业设计权或其他权利，不会因为甲方的使用遭受第三方侵权指控，包括被责令致歉、停止使用、追偿或要求赔偿损失等。否则，乙方负责解决由此引起的一切纠纷，甲方有权追究供应商的法律责任，其不利后果由乙方全部承担。</w:t>
      </w:r>
    </w:p>
    <w:p w14:paraId="16B9328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2.乙方应按</w:t>
      </w:r>
      <w:r>
        <w:rPr>
          <w:rFonts w:hint="eastAsia" w:ascii="宋体" w:hAnsi="宋体" w:cs="宋体"/>
          <w:sz w:val="24"/>
          <w:szCs w:val="24"/>
          <w:lang w:eastAsia="zh-CN"/>
        </w:rPr>
        <w:t>议价文件</w:t>
      </w:r>
      <w:r>
        <w:rPr>
          <w:rFonts w:hint="eastAsia" w:ascii="宋体" w:hAnsi="宋体" w:eastAsia="宋体" w:cs="宋体"/>
          <w:sz w:val="24"/>
          <w:szCs w:val="24"/>
        </w:rPr>
        <w:t>规定的时间向甲方提供使用货物的有关技术资料。</w:t>
      </w:r>
    </w:p>
    <w:p w14:paraId="57FF8B5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6"/>
          <w:sz w:val="24"/>
          <w:szCs w:val="24"/>
        </w:rPr>
        <w:t>乙方保证所交付的货物的所有权完全属于乙方且无任何抵押、质押、查封等产权瑕疵。</w:t>
      </w:r>
    </w:p>
    <w:p w14:paraId="2EC263B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b/>
          <w:sz w:val="24"/>
          <w:szCs w:val="24"/>
          <w:lang w:val="en-US" w:eastAsia="zh-CN"/>
        </w:rPr>
      </w:pPr>
      <w:r>
        <w:rPr>
          <w:rFonts w:hint="eastAsia" w:ascii="宋体" w:hAnsi="宋体" w:eastAsia="宋体" w:cs="宋体"/>
          <w:spacing w:val="-6"/>
          <w:sz w:val="24"/>
          <w:szCs w:val="24"/>
          <w:lang w:val="en-US" w:eastAsia="zh-CN"/>
        </w:rPr>
        <w:t>4.乙方</w:t>
      </w:r>
      <w:r>
        <w:rPr>
          <w:rFonts w:hint="eastAsia" w:ascii="宋体" w:hAnsi="宋体" w:eastAsia="宋体" w:cs="宋体"/>
          <w:sz w:val="24"/>
          <w:szCs w:val="24"/>
          <w:lang w:val="en-US" w:eastAsia="zh-CN"/>
        </w:rPr>
        <w:t>应该开具真实的发票，一旦查出发票作假，自动解除协议并且甲方有权利不支付该笔发票款项。</w:t>
      </w:r>
    </w:p>
    <w:p w14:paraId="79094F2F">
      <w:pPr>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第五条  货物包装、运输</w:t>
      </w:r>
    </w:p>
    <w:p w14:paraId="218B395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1.乙方应在货物发运前对其进行满足运输距离、防潮、防震、防锈和防破损装卸等要求包装，以保证货物安全运达甲方指定地点。</w:t>
      </w:r>
    </w:p>
    <w:p w14:paraId="17662D0D">
      <w:pPr>
        <w:keepNext w:val="0"/>
        <w:keepLines w:val="0"/>
        <w:pageBreakBefore w:val="0"/>
        <w:widowControl w:val="0"/>
        <w:tabs>
          <w:tab w:val="left" w:pos="780"/>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2.使用中文说明书、质量检验证明书、随配附件和工具以及清单一并附于货物内。</w:t>
      </w:r>
    </w:p>
    <w:p w14:paraId="693641E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3.乙方在货物发运手续办理完毕后二十四小时内或货到甲方四十八小时前通知甲方，以准备接货。</w:t>
      </w:r>
    </w:p>
    <w:p w14:paraId="78252CCE">
      <w:pPr>
        <w:keepNext w:val="0"/>
        <w:keepLines w:val="0"/>
        <w:pageBreakBefore w:val="0"/>
        <w:widowControl w:val="0"/>
        <w:tabs>
          <w:tab w:val="left" w:pos="780"/>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4.货物在交付甲方前发生的一切风险均由乙方负责。</w:t>
      </w:r>
    </w:p>
    <w:p w14:paraId="230556B1">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第六条  交付</w:t>
      </w:r>
    </w:p>
    <w:p w14:paraId="4F24B89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1.交付使用期：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；地点：广西桂林市内甲方院内指定地点。</w:t>
      </w:r>
    </w:p>
    <w:p w14:paraId="151BD37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2.乙方提供不符合</w:t>
      </w:r>
      <w:r>
        <w:rPr>
          <w:rFonts w:hint="eastAsia" w:ascii="宋体" w:hAnsi="宋体" w:cs="宋体"/>
          <w:sz w:val="24"/>
          <w:szCs w:val="24"/>
          <w:lang w:eastAsia="zh-CN"/>
        </w:rPr>
        <w:t>议价文件</w:t>
      </w:r>
      <w:r>
        <w:rPr>
          <w:rFonts w:hint="eastAsia" w:ascii="宋体" w:hAnsi="宋体" w:eastAsia="宋体" w:cs="宋体"/>
          <w:sz w:val="24"/>
          <w:szCs w:val="24"/>
        </w:rPr>
        <w:t>及</w:t>
      </w:r>
      <w:r>
        <w:rPr>
          <w:rFonts w:hint="eastAsia" w:ascii="宋体" w:hAnsi="宋体" w:cs="宋体"/>
          <w:sz w:val="24"/>
          <w:szCs w:val="24"/>
          <w:lang w:eastAsia="zh-CN"/>
        </w:rPr>
        <w:t>报价文件</w:t>
      </w:r>
      <w:r>
        <w:rPr>
          <w:rFonts w:hint="eastAsia" w:ascii="宋体" w:hAnsi="宋体" w:eastAsia="宋体" w:cs="宋体"/>
          <w:sz w:val="24"/>
          <w:szCs w:val="24"/>
        </w:rPr>
        <w:t>和本合同规定的货物，甲方有权拒绝接受。</w:t>
      </w:r>
    </w:p>
    <w:p w14:paraId="72A0EFE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3.乙方应将所有提供货物的装箱清单、用户手册、原厂保修卡、随机资料、工具和备用、备件等交付给甲方、如有缺失应及时补齐，否则视为逾期交货。</w:t>
      </w:r>
    </w:p>
    <w:p w14:paraId="5C37CFE3">
      <w:pPr>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第七条  调试和验收</w:t>
      </w:r>
    </w:p>
    <w:p w14:paraId="71B9CB8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1.乙方交货前应对产品做出全面的检查和对验收文件进行整理，并列出清单，作为甲方验收和使用的技术条件依据，验收的结果应随货物交甲方。</w:t>
      </w:r>
    </w:p>
    <w:p w14:paraId="0AC87B3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2.甲方依据</w:t>
      </w:r>
      <w:r>
        <w:rPr>
          <w:rFonts w:hint="eastAsia" w:ascii="宋体" w:hAnsi="宋体" w:cs="宋体"/>
          <w:sz w:val="24"/>
          <w:szCs w:val="24"/>
          <w:lang w:eastAsia="zh-CN"/>
        </w:rPr>
        <w:t>议价文件</w:t>
      </w:r>
      <w:r>
        <w:rPr>
          <w:rFonts w:hint="eastAsia" w:ascii="宋体" w:hAnsi="宋体" w:eastAsia="宋体" w:cs="宋体"/>
          <w:sz w:val="24"/>
          <w:szCs w:val="24"/>
        </w:rPr>
        <w:t>的技术规格要求和国家有关质量标准对货物进行现场初步验收，外观、说明书符合</w:t>
      </w:r>
      <w:r>
        <w:rPr>
          <w:rFonts w:hint="eastAsia" w:ascii="宋体" w:hAnsi="宋体" w:cs="宋体"/>
          <w:sz w:val="24"/>
          <w:szCs w:val="24"/>
          <w:lang w:eastAsia="zh-CN"/>
        </w:rPr>
        <w:t>议价文件</w:t>
      </w:r>
      <w:r>
        <w:rPr>
          <w:rFonts w:hint="eastAsia" w:ascii="宋体" w:hAnsi="宋体" w:eastAsia="宋体" w:cs="宋体"/>
          <w:sz w:val="24"/>
          <w:szCs w:val="24"/>
        </w:rPr>
        <w:t>技术要求的，给予签收，初步验收不合格的不予签收。货到后，甲方应当在到货（安装、调试完）后七个工作日内进行验收。验收合格后由甲乙双方签署货物验收单并加盖公章，甲乙双方各执一份。</w:t>
      </w:r>
    </w:p>
    <w:p w14:paraId="2FC8872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3.甲方对乙方提供的货物在使用前进行调试时，乙方需负责安装并培训甲方的使用操作人员，并协助甲方一起调试，直到符合技术要求，甲方才做最终验收。</w:t>
      </w:r>
    </w:p>
    <w:p w14:paraId="6E582F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4.对技术复杂的货物，甲方应请国家认可的专业检测机构参与初步验收及最终验收，并由其出具质量检测报告。</w:t>
      </w:r>
    </w:p>
    <w:p w14:paraId="23304B2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5.验收时乙方必须在现场，验收完毕后作出验收结果报告，验收费用由乙方负责。</w:t>
      </w:r>
    </w:p>
    <w:p w14:paraId="133D85E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6.甲方对验收有异议的，在验收后</w:t>
      </w:r>
      <w:r>
        <w:rPr>
          <w:rFonts w:hint="eastAsia" w:ascii="宋体" w:hAnsi="宋体" w:eastAsia="宋体" w:cs="宋体"/>
          <w:sz w:val="24"/>
          <w:szCs w:val="24"/>
          <w:u w:val="single"/>
        </w:rPr>
        <w:t>7</w:t>
      </w:r>
      <w:r>
        <w:rPr>
          <w:rFonts w:hint="eastAsia" w:ascii="宋体" w:hAnsi="宋体" w:eastAsia="宋体" w:cs="宋体"/>
          <w:sz w:val="24"/>
          <w:szCs w:val="24"/>
        </w:rPr>
        <w:t>个工作日内以书面形式向乙方提出，乙方应自收到甲方书面异议后</w:t>
      </w:r>
      <w:r>
        <w:rPr>
          <w:rFonts w:hint="eastAsia" w:ascii="宋体" w:hAnsi="宋体" w:eastAsia="宋体" w:cs="宋体"/>
          <w:sz w:val="24"/>
          <w:szCs w:val="24"/>
          <w:u w:val="single"/>
        </w:rPr>
        <w:t>7</w:t>
      </w:r>
      <w:r>
        <w:rPr>
          <w:rFonts w:hint="eastAsia" w:ascii="宋体" w:hAnsi="宋体" w:eastAsia="宋体" w:cs="宋体"/>
          <w:sz w:val="24"/>
          <w:szCs w:val="24"/>
        </w:rPr>
        <w:t>日内及时予以解决。</w:t>
      </w:r>
    </w:p>
    <w:p w14:paraId="42A34A2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.验收标准：</w:t>
      </w:r>
    </w:p>
    <w:p w14:paraId="2BE52F2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按</w:t>
      </w:r>
      <w:r>
        <w:rPr>
          <w:rFonts w:hint="eastAsia" w:ascii="宋体" w:hAnsi="宋体" w:cs="宋体"/>
          <w:sz w:val="24"/>
          <w:szCs w:val="24"/>
          <w:lang w:eastAsia="zh-CN"/>
        </w:rPr>
        <w:t>议价文件</w:t>
      </w:r>
      <w:r>
        <w:rPr>
          <w:rFonts w:hint="eastAsia" w:ascii="宋体" w:hAnsi="宋体" w:eastAsia="宋体" w:cs="宋体"/>
          <w:sz w:val="24"/>
          <w:szCs w:val="24"/>
        </w:rPr>
        <w:t>要求</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乙方</w:t>
      </w:r>
      <w:r>
        <w:rPr>
          <w:rFonts w:hint="eastAsia" w:ascii="宋体" w:hAnsi="宋体" w:cs="宋体"/>
          <w:b w:val="0"/>
          <w:bCs w:val="0"/>
          <w:color w:val="auto"/>
          <w:sz w:val="24"/>
          <w:szCs w:val="24"/>
          <w:lang w:val="en-US" w:eastAsia="zh-CN"/>
        </w:rPr>
        <w:t>报价中的</w:t>
      </w:r>
      <w:r>
        <w:rPr>
          <w:rFonts w:hint="eastAsia" w:ascii="宋体" w:hAnsi="宋体" w:eastAsia="宋体" w:cs="宋体"/>
          <w:b w:val="0"/>
          <w:bCs w:val="0"/>
          <w:color w:val="auto"/>
          <w:sz w:val="24"/>
          <w:szCs w:val="24"/>
        </w:rPr>
        <w:t>承诺</w:t>
      </w:r>
      <w:r>
        <w:rPr>
          <w:rFonts w:hint="eastAsia" w:ascii="宋体" w:hAnsi="宋体" w:eastAsia="宋体" w:cs="宋体"/>
          <w:sz w:val="24"/>
          <w:szCs w:val="24"/>
        </w:rPr>
        <w:t>及强制执行的国家相关标准、规范要求进行验收。</w:t>
      </w:r>
      <w:r>
        <w:rPr>
          <w:rFonts w:hint="eastAsia" w:ascii="宋体" w:hAnsi="宋体" w:cs="宋体"/>
          <w:sz w:val="24"/>
          <w:szCs w:val="24"/>
          <w:lang w:eastAsia="zh-CN"/>
        </w:rPr>
        <w:t>报价文件</w:t>
      </w:r>
      <w:r>
        <w:rPr>
          <w:rFonts w:hint="eastAsia" w:ascii="宋体" w:hAnsi="宋体" w:eastAsia="宋体" w:cs="宋体"/>
          <w:sz w:val="24"/>
          <w:szCs w:val="24"/>
        </w:rPr>
        <w:t>承诺必须是真实、有效的响应和承诺。</w:t>
      </w:r>
    </w:p>
    <w:p w14:paraId="0711D6C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eastAsia="zh-CN"/>
        </w:rPr>
        <w:t>乙方</w:t>
      </w:r>
      <w:r>
        <w:rPr>
          <w:rFonts w:hint="eastAsia" w:ascii="宋体" w:hAnsi="宋体" w:eastAsia="宋体" w:cs="宋体"/>
          <w:sz w:val="24"/>
          <w:szCs w:val="24"/>
        </w:rPr>
        <w:t>所提供的标的必须为原厂原装正品的、全新的、完好无破损的产品，产品应符合国家相关标准、规范等有关质量要求；标的到货安装前，</w:t>
      </w:r>
      <w:r>
        <w:rPr>
          <w:rFonts w:hint="eastAsia" w:ascii="宋体" w:hAnsi="宋体" w:eastAsia="宋体" w:cs="宋体"/>
          <w:sz w:val="24"/>
          <w:szCs w:val="24"/>
          <w:lang w:eastAsia="zh-CN"/>
        </w:rPr>
        <w:t>甲方</w:t>
      </w:r>
      <w:r>
        <w:rPr>
          <w:rFonts w:hint="eastAsia" w:ascii="宋体" w:hAnsi="宋体" w:eastAsia="宋体" w:cs="宋体"/>
          <w:sz w:val="24"/>
          <w:szCs w:val="24"/>
        </w:rPr>
        <w:t>于现场根据</w:t>
      </w:r>
      <w:r>
        <w:rPr>
          <w:rFonts w:hint="eastAsia" w:ascii="宋体" w:hAnsi="宋体" w:cs="宋体"/>
          <w:sz w:val="24"/>
          <w:szCs w:val="24"/>
          <w:lang w:eastAsia="zh-CN"/>
        </w:rPr>
        <w:t>议价文件</w:t>
      </w:r>
      <w:r>
        <w:rPr>
          <w:rFonts w:hint="eastAsia" w:ascii="宋体" w:hAnsi="宋体" w:eastAsia="宋体" w:cs="宋体"/>
          <w:sz w:val="24"/>
          <w:szCs w:val="24"/>
        </w:rPr>
        <w:t>要求及</w:t>
      </w:r>
      <w:r>
        <w:rPr>
          <w:rFonts w:hint="eastAsia" w:ascii="宋体" w:hAnsi="宋体" w:eastAsia="宋体" w:cs="宋体"/>
          <w:sz w:val="24"/>
          <w:szCs w:val="24"/>
          <w:lang w:eastAsia="zh-CN"/>
        </w:rPr>
        <w:t>乙方</w:t>
      </w:r>
      <w:r>
        <w:rPr>
          <w:rFonts w:hint="eastAsia" w:ascii="宋体" w:hAnsi="宋体" w:cs="宋体"/>
          <w:sz w:val="24"/>
          <w:szCs w:val="24"/>
          <w:lang w:eastAsia="zh-CN"/>
        </w:rPr>
        <w:t>报价文件</w:t>
      </w:r>
      <w:r>
        <w:rPr>
          <w:rFonts w:hint="eastAsia" w:ascii="宋体" w:hAnsi="宋体" w:eastAsia="宋体" w:cs="宋体"/>
          <w:sz w:val="24"/>
          <w:szCs w:val="24"/>
        </w:rPr>
        <w:t>承诺逐条对应进行核验，核验不合格的，不予验收，</w:t>
      </w:r>
      <w:r>
        <w:rPr>
          <w:rFonts w:hint="eastAsia" w:ascii="宋体" w:hAnsi="宋体" w:eastAsia="宋体" w:cs="宋体"/>
          <w:sz w:val="24"/>
          <w:szCs w:val="24"/>
          <w:lang w:eastAsia="zh-CN"/>
        </w:rPr>
        <w:t>甲方</w:t>
      </w:r>
      <w:r>
        <w:rPr>
          <w:rFonts w:hint="eastAsia" w:ascii="宋体" w:hAnsi="宋体" w:eastAsia="宋体" w:cs="宋体"/>
          <w:sz w:val="24"/>
          <w:szCs w:val="24"/>
        </w:rPr>
        <w:t>有权解除合同，同时报相关监督管理部门处理，由此造成</w:t>
      </w:r>
      <w:r>
        <w:rPr>
          <w:rFonts w:hint="eastAsia" w:ascii="宋体" w:hAnsi="宋体" w:eastAsia="宋体" w:cs="宋体"/>
          <w:sz w:val="24"/>
          <w:szCs w:val="24"/>
          <w:lang w:eastAsia="zh-CN"/>
        </w:rPr>
        <w:t>甲方</w:t>
      </w:r>
      <w:r>
        <w:rPr>
          <w:rFonts w:hint="eastAsia" w:ascii="宋体" w:hAnsi="宋体" w:eastAsia="宋体" w:cs="宋体"/>
          <w:sz w:val="24"/>
          <w:szCs w:val="24"/>
        </w:rPr>
        <w:t>经济损失的由</w:t>
      </w:r>
      <w:r>
        <w:rPr>
          <w:rFonts w:hint="eastAsia" w:ascii="宋体" w:hAnsi="宋体" w:eastAsia="宋体" w:cs="宋体"/>
          <w:sz w:val="24"/>
          <w:szCs w:val="24"/>
          <w:lang w:eastAsia="zh-CN"/>
        </w:rPr>
        <w:t>乙方</w:t>
      </w:r>
      <w:r>
        <w:rPr>
          <w:rFonts w:hint="eastAsia" w:ascii="宋体" w:hAnsi="宋体" w:eastAsia="宋体" w:cs="宋体"/>
          <w:sz w:val="24"/>
          <w:szCs w:val="24"/>
        </w:rPr>
        <w:t>负责承担全部赔偿责任和本项目合同金额20%的违约金。</w:t>
      </w:r>
      <w:r>
        <w:rPr>
          <w:rFonts w:hint="eastAsia" w:ascii="宋体" w:hAnsi="宋体" w:eastAsia="宋体" w:cs="宋体"/>
          <w:sz w:val="24"/>
          <w:szCs w:val="24"/>
          <w:lang w:eastAsia="zh-CN"/>
        </w:rPr>
        <w:t>乙方</w:t>
      </w:r>
      <w:r>
        <w:rPr>
          <w:rFonts w:hint="eastAsia" w:ascii="宋体" w:hAnsi="宋体" w:eastAsia="宋体" w:cs="宋体"/>
          <w:sz w:val="24"/>
          <w:szCs w:val="24"/>
        </w:rPr>
        <w:t>如有异议，将交由国家认可并具有检验检测资质的第三方机构进行检验，所有产生的费用由</w:t>
      </w:r>
      <w:r>
        <w:rPr>
          <w:rFonts w:hint="eastAsia" w:ascii="宋体" w:hAnsi="宋体" w:eastAsia="宋体" w:cs="宋体"/>
          <w:sz w:val="24"/>
          <w:szCs w:val="24"/>
          <w:lang w:eastAsia="zh-CN"/>
        </w:rPr>
        <w:t>乙方</w:t>
      </w:r>
      <w:r>
        <w:rPr>
          <w:rFonts w:hint="eastAsia" w:ascii="宋体" w:hAnsi="宋体" w:eastAsia="宋体" w:cs="宋体"/>
          <w:sz w:val="24"/>
          <w:szCs w:val="24"/>
        </w:rPr>
        <w:t>承担，若核验结果的各项参数指标不满足</w:t>
      </w:r>
      <w:r>
        <w:rPr>
          <w:rFonts w:hint="eastAsia" w:ascii="宋体" w:hAnsi="宋体" w:cs="宋体"/>
          <w:sz w:val="24"/>
          <w:szCs w:val="24"/>
          <w:lang w:eastAsia="zh-CN"/>
        </w:rPr>
        <w:t>议价文件</w:t>
      </w:r>
      <w:r>
        <w:rPr>
          <w:rFonts w:hint="eastAsia" w:ascii="宋体" w:hAnsi="宋体" w:eastAsia="宋体" w:cs="宋体"/>
          <w:sz w:val="24"/>
          <w:szCs w:val="24"/>
        </w:rPr>
        <w:t>要求及</w:t>
      </w:r>
      <w:r>
        <w:rPr>
          <w:rFonts w:hint="eastAsia" w:ascii="宋体" w:hAnsi="宋体" w:cs="宋体"/>
          <w:sz w:val="24"/>
          <w:szCs w:val="24"/>
          <w:lang w:eastAsia="zh-CN"/>
        </w:rPr>
        <w:t>报价文件</w:t>
      </w:r>
      <w:r>
        <w:rPr>
          <w:rFonts w:hint="eastAsia" w:ascii="宋体" w:hAnsi="宋体" w:eastAsia="宋体" w:cs="宋体"/>
          <w:sz w:val="24"/>
          <w:szCs w:val="24"/>
        </w:rPr>
        <w:t>承诺的指标要求，</w:t>
      </w:r>
      <w:r>
        <w:rPr>
          <w:rFonts w:hint="eastAsia" w:ascii="宋体" w:hAnsi="宋体" w:eastAsia="宋体" w:cs="宋体"/>
          <w:sz w:val="24"/>
          <w:szCs w:val="24"/>
          <w:lang w:eastAsia="zh-CN"/>
        </w:rPr>
        <w:t>乙方</w:t>
      </w:r>
      <w:r>
        <w:rPr>
          <w:rFonts w:hint="eastAsia" w:ascii="宋体" w:hAnsi="宋体" w:eastAsia="宋体" w:cs="宋体"/>
          <w:sz w:val="24"/>
          <w:szCs w:val="24"/>
        </w:rPr>
        <w:t>同时承担虚假竞标的相关法律责任。</w:t>
      </w:r>
    </w:p>
    <w:p w14:paraId="6916C7A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3.验收其他要求按合同条款执行。</w:t>
      </w:r>
    </w:p>
    <w:p w14:paraId="5BFC8A01">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第八条  安装和培训</w:t>
      </w:r>
    </w:p>
    <w:p w14:paraId="02DFE82F">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1.甲方应提供必要安装条件（如场地、电源、水源等）。</w:t>
      </w:r>
    </w:p>
    <w:p w14:paraId="003CC580">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2.乙方负责甲方有关人员的培训。培训时间、地点：</w:t>
      </w:r>
      <w:r>
        <w:rPr>
          <w:rFonts w:hint="eastAsia" w:ascii="宋体" w:hAnsi="宋体" w:eastAsia="宋体" w:cs="宋体"/>
          <w:sz w:val="24"/>
          <w:szCs w:val="24"/>
          <w:u w:val="single"/>
        </w:rPr>
        <w:t>广西桂林市内甲方指定地点</w:t>
      </w:r>
      <w:r>
        <w:rPr>
          <w:rFonts w:hint="eastAsia" w:ascii="宋体" w:hAnsi="宋体" w:eastAsia="宋体" w:cs="宋体"/>
          <w:sz w:val="24"/>
          <w:szCs w:val="24"/>
        </w:rPr>
        <w:t>_。</w:t>
      </w:r>
    </w:p>
    <w:p w14:paraId="47784677">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第九条  售后服务</w:t>
      </w:r>
    </w:p>
    <w:p w14:paraId="7EEE3907">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提供的以下售后服务均应包含在</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价中，</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不再就此另行支付任何费用：</w:t>
      </w:r>
    </w:p>
    <w:p w14:paraId="11591DD4">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按照国家有关产品“三包”规定执行“三包”，医疗仓</w:t>
      </w:r>
      <w:r>
        <w:rPr>
          <w:rFonts w:hint="eastAsia" w:ascii="宋体" w:hAnsi="宋体" w:cs="宋体"/>
          <w:color w:val="auto"/>
          <w:sz w:val="24"/>
          <w:szCs w:val="24"/>
          <w:highlight w:val="none"/>
          <w:lang w:val="en-US" w:eastAsia="zh-CN"/>
        </w:rPr>
        <w:t>免费</w:t>
      </w:r>
      <w:r>
        <w:rPr>
          <w:rFonts w:hint="eastAsia" w:ascii="宋体" w:hAnsi="宋体" w:eastAsia="宋体" w:cs="宋体"/>
          <w:color w:val="auto"/>
          <w:sz w:val="24"/>
          <w:szCs w:val="24"/>
          <w:highlight w:val="none"/>
          <w:lang w:val="en-US" w:eastAsia="zh-CN"/>
        </w:rPr>
        <w:t>保修期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年（自验收合格之日起计算），底盘</w:t>
      </w:r>
      <w:r>
        <w:rPr>
          <w:rFonts w:hint="eastAsia" w:ascii="宋体" w:hAnsi="宋体" w:cs="宋体"/>
          <w:color w:val="auto"/>
          <w:sz w:val="24"/>
          <w:szCs w:val="24"/>
          <w:highlight w:val="none"/>
          <w:lang w:val="en-US" w:eastAsia="zh-CN"/>
        </w:rPr>
        <w:t>免费</w:t>
      </w:r>
      <w:r>
        <w:rPr>
          <w:rFonts w:hint="eastAsia" w:ascii="宋体" w:hAnsi="宋体" w:eastAsia="宋体" w:cs="宋体"/>
          <w:color w:val="auto"/>
          <w:sz w:val="24"/>
          <w:szCs w:val="24"/>
          <w:highlight w:val="none"/>
          <w:lang w:val="en-US" w:eastAsia="zh-CN"/>
        </w:rPr>
        <w:t>保修期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年或行驶里程</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万公里（以先到为准）。</w:t>
      </w:r>
    </w:p>
    <w:p w14:paraId="37C25730">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范围内的货物送货上门、安装调试合格，并提供技术培训服务直至</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熟练操作各项功能。</w:t>
      </w:r>
    </w:p>
    <w:p w14:paraId="4A6D8928">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保修期</w:t>
      </w:r>
      <w:r>
        <w:rPr>
          <w:rFonts w:hint="eastAsia" w:ascii="宋体" w:hAnsi="宋体" w:eastAsia="宋体" w:cs="宋体"/>
          <w:color w:val="auto"/>
          <w:sz w:val="24"/>
          <w:szCs w:val="24"/>
          <w:highlight w:val="none"/>
        </w:rPr>
        <w:t>内非人为损坏，</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更换所有故障零配件，并提供设备的系统软件及硬件的安全性改版升级和技术支持，确保设备正常运行。 </w:t>
      </w:r>
    </w:p>
    <w:p w14:paraId="78C793D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保修期</w:t>
      </w:r>
      <w:r>
        <w:rPr>
          <w:rFonts w:hint="eastAsia" w:ascii="宋体" w:hAnsi="宋体" w:eastAsia="宋体" w:cs="宋体"/>
          <w:color w:val="auto"/>
          <w:sz w:val="24"/>
          <w:szCs w:val="24"/>
          <w:highlight w:val="none"/>
        </w:rPr>
        <w:t>内设备发生故障时，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小时以内响应，</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小时内派工程师到场时间。如需更换配件，小型配件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个工作日内更换完毕，大型配件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个工作日内更换完毕，要求更换的配件是原厂全新的零配件。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合同内是否直接约定？</w:t>
      </w:r>
      <w:r>
        <w:rPr>
          <w:rFonts w:hint="eastAsia" w:ascii="宋体" w:hAnsi="宋体" w:cs="宋体"/>
          <w:color w:val="auto"/>
          <w:sz w:val="24"/>
          <w:szCs w:val="24"/>
          <w:highlight w:val="none"/>
          <w:lang w:eastAsia="zh-CN"/>
        </w:rPr>
        <w:t>）</w:t>
      </w:r>
    </w:p>
    <w:p w14:paraId="11FCA21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val="0"/>
          <w:bCs/>
          <w:color w:val="auto"/>
          <w:sz w:val="24"/>
          <w:szCs w:val="24"/>
          <w:highlight w:val="none"/>
          <w:lang w:eastAsia="zh-CN"/>
        </w:rPr>
        <w:t>乙方</w:t>
      </w:r>
      <w:r>
        <w:rPr>
          <w:rFonts w:hint="eastAsia" w:ascii="宋体" w:hAnsi="宋体" w:eastAsia="宋体" w:cs="宋体"/>
          <w:b w:val="0"/>
          <w:bCs/>
          <w:color w:val="auto"/>
          <w:sz w:val="24"/>
          <w:szCs w:val="24"/>
          <w:highlight w:val="none"/>
        </w:rPr>
        <w:t>协助</w:t>
      </w:r>
      <w:r>
        <w:rPr>
          <w:rFonts w:hint="eastAsia" w:ascii="宋体" w:hAnsi="宋体" w:eastAsia="宋体" w:cs="宋体"/>
          <w:b w:val="0"/>
          <w:bCs/>
          <w:color w:val="auto"/>
          <w:sz w:val="24"/>
          <w:szCs w:val="24"/>
          <w:highlight w:val="none"/>
          <w:lang w:eastAsia="zh-CN"/>
        </w:rPr>
        <w:t>甲方</w:t>
      </w:r>
      <w:r>
        <w:rPr>
          <w:rFonts w:hint="eastAsia" w:ascii="宋体" w:hAnsi="宋体" w:eastAsia="宋体" w:cs="宋体"/>
          <w:b w:val="0"/>
          <w:bCs/>
          <w:color w:val="auto"/>
          <w:sz w:val="24"/>
          <w:szCs w:val="24"/>
          <w:highlight w:val="none"/>
        </w:rPr>
        <w:t>完成车辆注册登记事宜。</w:t>
      </w:r>
    </w:p>
    <w:p w14:paraId="49E7FFEF">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税费</w:t>
      </w:r>
    </w:p>
    <w:p w14:paraId="5388637B">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30CDFD71">
      <w:pPr>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第十一条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付款方式</w:t>
      </w:r>
    </w:p>
    <w:p w14:paraId="00347601">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合同签订后，自验收合格（培训指导完成、设备正式使用）收到正规等额、有效发票之日起60个工作日后支付合同价款的95%，合同价款的5%作为履约保证金，质保期满30个工作日后付清（无息）。</w:t>
      </w:r>
    </w:p>
    <w:p w14:paraId="2FD93524">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第十二条  违约责任</w:t>
      </w:r>
    </w:p>
    <w:p w14:paraId="735292B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1.乙方所提供的货物规格、技术标准、材料等质量不合格的，应及时更换，更换不及时的按逾期交货处罚，乙方应向甲方支付合同金额</w:t>
      </w:r>
      <w:r>
        <w:rPr>
          <w:rFonts w:hint="eastAsia" w:ascii="宋体" w:hAnsi="宋体" w:eastAsia="宋体" w:cs="宋体"/>
          <w:sz w:val="24"/>
          <w:szCs w:val="24"/>
          <w:u w:val="single"/>
        </w:rPr>
        <w:t>5</w:t>
      </w:r>
      <w:r>
        <w:rPr>
          <w:rFonts w:hint="eastAsia" w:ascii="宋体" w:hAnsi="宋体" w:eastAsia="宋体" w:cs="宋体"/>
          <w:sz w:val="24"/>
          <w:szCs w:val="24"/>
        </w:rPr>
        <w:t>%违约金并赔偿甲方经济损失。</w:t>
      </w:r>
    </w:p>
    <w:p w14:paraId="7A9F72AF">
      <w:pPr>
        <w:keepNext w:val="0"/>
        <w:keepLines w:val="0"/>
        <w:pageBreakBefore w:val="0"/>
        <w:widowControl w:val="0"/>
        <w:kinsoku/>
        <w:wordWrap/>
        <w:overflowPunct/>
        <w:topLinePunct w:val="0"/>
        <w:autoSpaceDE/>
        <w:autoSpaceDN/>
        <w:bidi w:val="0"/>
        <w:adjustRightInd/>
        <w:snapToGrid/>
        <w:spacing w:line="4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乙方提供的货物如果侵犯了第三方合法权益而引发的任何纠纷或诉讼，均由乙方负责交涉并承担全部责任；在履行本合同过程中非因甲方的原因引发的诉讼，由乙方承担全部责任（包括不限于赔偿费、甲方的经济损失费、律师费、仲裁费、诉讼费等费用，乙方承担后，有权向第三方追偿）。</w:t>
      </w:r>
    </w:p>
    <w:p w14:paraId="590705E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3.因包装、运输引起的货物损坏，按质量不合格处理。</w:t>
      </w:r>
    </w:p>
    <w:p w14:paraId="6A0C884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4.甲方无故延期接受货物、乙方逾期交货的，每天向对方偿付合同金额</w:t>
      </w:r>
      <w:r>
        <w:rPr>
          <w:rFonts w:hint="eastAsia" w:ascii="宋体" w:hAnsi="宋体" w:eastAsia="宋体" w:cs="宋体"/>
          <w:sz w:val="24"/>
          <w:szCs w:val="24"/>
          <w:u w:val="single"/>
        </w:rPr>
        <w:t>3</w:t>
      </w:r>
      <w:r>
        <w:rPr>
          <w:rFonts w:hint="eastAsia" w:ascii="宋体" w:hAnsi="宋体" w:eastAsia="宋体" w:cs="宋体"/>
          <w:sz w:val="24"/>
          <w:szCs w:val="24"/>
        </w:rPr>
        <w:t>‰违约金，但违约金额不得超过合同金额</w:t>
      </w:r>
      <w:r>
        <w:rPr>
          <w:rFonts w:hint="eastAsia" w:ascii="宋体" w:hAnsi="宋体" w:eastAsia="宋体" w:cs="宋体"/>
          <w:sz w:val="24"/>
          <w:szCs w:val="24"/>
          <w:u w:val="single"/>
        </w:rPr>
        <w:t>5</w:t>
      </w:r>
      <w:r>
        <w:rPr>
          <w:rFonts w:hint="eastAsia" w:ascii="宋体" w:hAnsi="宋体" w:eastAsia="宋体" w:cs="宋体"/>
          <w:sz w:val="24"/>
          <w:szCs w:val="24"/>
        </w:rPr>
        <w:t>%，超过</w:t>
      </w:r>
      <w:r>
        <w:rPr>
          <w:rFonts w:hint="eastAsia" w:ascii="宋体" w:hAnsi="宋体" w:eastAsia="宋体" w:cs="宋体"/>
          <w:sz w:val="24"/>
          <w:szCs w:val="24"/>
          <w:u w:val="single"/>
        </w:rPr>
        <w:t>20</w:t>
      </w:r>
      <w:r>
        <w:rPr>
          <w:rFonts w:hint="eastAsia" w:ascii="宋体" w:hAnsi="宋体" w:eastAsia="宋体" w:cs="宋体"/>
          <w:sz w:val="24"/>
          <w:szCs w:val="24"/>
        </w:rPr>
        <w:t>天对方有权解除合同，违约方承担因此给对方造成的经济损失：甲方延期付货款的，每天向乙方偿付逾期金额</w:t>
      </w:r>
      <w:r>
        <w:rPr>
          <w:rFonts w:hint="eastAsia" w:ascii="宋体" w:hAnsi="宋体" w:eastAsia="宋体" w:cs="宋体"/>
          <w:sz w:val="24"/>
          <w:szCs w:val="24"/>
          <w:u w:val="single"/>
        </w:rPr>
        <w:t>1</w:t>
      </w:r>
      <w:r>
        <w:rPr>
          <w:rFonts w:hint="eastAsia" w:ascii="宋体" w:hAnsi="宋体" w:eastAsia="宋体" w:cs="宋体"/>
          <w:sz w:val="24"/>
          <w:szCs w:val="24"/>
        </w:rPr>
        <w:t>‰</w:t>
      </w:r>
      <w:r>
        <w:rPr>
          <w:rFonts w:hint="eastAsia" w:ascii="宋体" w:hAnsi="宋体" w:eastAsia="宋体" w:cs="宋体"/>
          <w:sz w:val="24"/>
          <w:szCs w:val="24"/>
          <w:lang w:eastAsia="zh-CN"/>
        </w:rPr>
        <w:t>违约</w:t>
      </w:r>
      <w:r>
        <w:rPr>
          <w:rFonts w:hint="eastAsia" w:ascii="宋体" w:hAnsi="宋体" w:eastAsia="宋体" w:cs="宋体"/>
          <w:sz w:val="24"/>
          <w:szCs w:val="24"/>
        </w:rPr>
        <w:t>金，但</w:t>
      </w:r>
      <w:r>
        <w:rPr>
          <w:rFonts w:hint="eastAsia" w:ascii="宋体" w:hAnsi="宋体" w:eastAsia="宋体" w:cs="宋体"/>
          <w:sz w:val="24"/>
          <w:szCs w:val="24"/>
          <w:lang w:eastAsia="zh-CN"/>
        </w:rPr>
        <w:t>违约</w:t>
      </w:r>
      <w:r>
        <w:rPr>
          <w:rFonts w:hint="eastAsia" w:ascii="宋体" w:hAnsi="宋体" w:eastAsia="宋体" w:cs="宋体"/>
          <w:sz w:val="24"/>
          <w:szCs w:val="24"/>
        </w:rPr>
        <w:t>金累计不得超过逾期金额</w:t>
      </w:r>
      <w:r>
        <w:rPr>
          <w:rFonts w:hint="eastAsia" w:ascii="宋体" w:hAnsi="宋体" w:eastAsia="宋体" w:cs="宋体"/>
          <w:sz w:val="24"/>
          <w:szCs w:val="24"/>
          <w:u w:val="single"/>
        </w:rPr>
        <w:t>5</w:t>
      </w:r>
      <w:r>
        <w:rPr>
          <w:rFonts w:hint="eastAsia" w:ascii="宋体" w:hAnsi="宋体" w:eastAsia="宋体" w:cs="宋体"/>
          <w:sz w:val="24"/>
          <w:szCs w:val="24"/>
        </w:rPr>
        <w:t>%。</w:t>
      </w:r>
    </w:p>
    <w:p w14:paraId="586708B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5.乙方未按本合同和</w:t>
      </w:r>
      <w:r>
        <w:rPr>
          <w:rFonts w:hint="eastAsia" w:ascii="宋体" w:hAnsi="宋体" w:cs="宋体"/>
          <w:sz w:val="24"/>
          <w:szCs w:val="24"/>
          <w:lang w:eastAsia="zh-CN"/>
        </w:rPr>
        <w:t>报价文件</w:t>
      </w:r>
      <w:r>
        <w:rPr>
          <w:rFonts w:hint="eastAsia" w:ascii="宋体" w:hAnsi="宋体" w:eastAsia="宋体" w:cs="宋体"/>
          <w:sz w:val="24"/>
          <w:szCs w:val="24"/>
        </w:rPr>
        <w:t>中规定的服务承诺提供售后服务的，乙方应每次按本合同合计金额</w:t>
      </w:r>
      <w:r>
        <w:rPr>
          <w:rFonts w:hint="eastAsia" w:ascii="宋体" w:hAnsi="宋体" w:eastAsia="宋体" w:cs="宋体"/>
          <w:sz w:val="24"/>
          <w:szCs w:val="24"/>
          <w:u w:val="single"/>
        </w:rPr>
        <w:t>2</w:t>
      </w:r>
      <w:r>
        <w:rPr>
          <w:rFonts w:hint="eastAsia" w:ascii="宋体" w:hAnsi="宋体" w:eastAsia="宋体" w:cs="宋体"/>
          <w:sz w:val="24"/>
          <w:szCs w:val="24"/>
        </w:rPr>
        <w:t>%向甲方支付违约金。</w:t>
      </w:r>
    </w:p>
    <w:p w14:paraId="081AE0F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6.乙方提供的货物在质保期内，因设计、工艺或材料的缺陷和其他质量原因造成的问题，由乙方负责，费用从合同价款中扣除，不足另补。</w:t>
      </w:r>
    </w:p>
    <w:p w14:paraId="3DD8ACF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7.乙方其他违约行为按违约货款额</w:t>
      </w:r>
      <w:r>
        <w:rPr>
          <w:rFonts w:hint="eastAsia" w:ascii="宋体" w:hAnsi="宋体" w:eastAsia="宋体" w:cs="宋体"/>
          <w:sz w:val="24"/>
          <w:szCs w:val="24"/>
          <w:u w:val="single"/>
        </w:rPr>
        <w:t>5</w:t>
      </w:r>
      <w:r>
        <w:rPr>
          <w:rFonts w:hint="eastAsia" w:ascii="宋体" w:hAnsi="宋体" w:eastAsia="宋体" w:cs="宋体"/>
          <w:sz w:val="24"/>
          <w:szCs w:val="24"/>
        </w:rPr>
        <w:t>%收取违约金并赔偿经济损失。</w:t>
      </w:r>
    </w:p>
    <w:p w14:paraId="653870AC">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第十三条  不可抗力事件处理</w:t>
      </w:r>
    </w:p>
    <w:p w14:paraId="52367FD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1.在合同有效期内，乙方因不可抗力事件导致不能履行合同，则合同履行期可延长，其延长期与不可抗力影响期相同。</w:t>
      </w:r>
    </w:p>
    <w:p w14:paraId="569895E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142A605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3.不可抗力事件延续一百二十天以上，双方应通过友好协商，确定是否继续履行合同。</w:t>
      </w:r>
    </w:p>
    <w:p w14:paraId="001941C1">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第十四条  合同争议解决</w:t>
      </w:r>
    </w:p>
    <w:p w14:paraId="2C3F501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1.因货物质量问题发生争议的，应邀请国家认可的质量检测机构对货物质量进行鉴定。货物符合标准的，鉴定费由甲方承担；货物不符合标准的，鉴定费由乙方承担。</w:t>
      </w:r>
    </w:p>
    <w:p w14:paraId="4359BFE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2.因履行本合同引起的或与本合同有关的争议，甲乙双方应首先通过友好协商解决，如果协商不能解决，双方约定由甲方所在地人民法院管辖。</w:t>
      </w:r>
    </w:p>
    <w:p w14:paraId="6690829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3.诉讼期间，本合同继续履行。</w:t>
      </w:r>
    </w:p>
    <w:p w14:paraId="6600A2C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本合同尾部所约定的通讯地址及联系人作为双方送达文书及诉讼程序一审、二审、再审、执行以及仲裁程序所涉法律文书（包含但不限于应诉通知书、开庭传票、判决书、裁定书、裁决书等）的指定送达地址及送达联系人，如因受送达方无法签收、拒收等原因导致被退回的，各方一致同意法律文书被退回之日即为送达之日。各方变更地址应及时书面通知对方，否则由此引起的责任由信息变更方承担。按本协议所载资料向乙方发送的所有通知及司法部门的文书，视同送达。</w:t>
      </w:r>
    </w:p>
    <w:p w14:paraId="66B04910">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第十五条  合同生效及其它</w:t>
      </w:r>
    </w:p>
    <w:p w14:paraId="1D90311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1.合同经甲乙双方法定代表人（负责人）或授权代表签字并加盖单位公章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骑缝章</w:t>
      </w:r>
      <w:r>
        <w:rPr>
          <w:rFonts w:hint="eastAsia" w:ascii="宋体" w:hAnsi="宋体" w:eastAsia="宋体" w:cs="宋体"/>
          <w:sz w:val="24"/>
          <w:szCs w:val="24"/>
        </w:rPr>
        <w:t>后生效。</w:t>
      </w:r>
    </w:p>
    <w:p w14:paraId="66A8DEB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2.合同执行中涉</w:t>
      </w:r>
      <w:r>
        <w:rPr>
          <w:rFonts w:hint="eastAsia" w:ascii="宋体" w:hAnsi="宋体" w:eastAsia="宋体" w:cs="宋体"/>
          <w:b w:val="0"/>
          <w:bCs w:val="0"/>
          <w:color w:val="auto"/>
          <w:sz w:val="24"/>
          <w:szCs w:val="24"/>
        </w:rPr>
        <w:t>及</w:t>
      </w:r>
      <w:r>
        <w:rPr>
          <w:rFonts w:hint="eastAsia" w:ascii="宋体" w:hAnsi="宋体" w:cs="宋体"/>
          <w:b w:val="0"/>
          <w:bCs w:val="0"/>
          <w:color w:val="auto"/>
          <w:sz w:val="24"/>
          <w:szCs w:val="24"/>
          <w:lang w:val="en-US" w:eastAsia="zh-CN"/>
        </w:rPr>
        <w:t>议价</w:t>
      </w:r>
      <w:r>
        <w:rPr>
          <w:rFonts w:hint="eastAsia" w:ascii="宋体" w:hAnsi="宋体" w:eastAsia="宋体" w:cs="宋体"/>
          <w:b w:val="0"/>
          <w:bCs w:val="0"/>
          <w:color w:val="auto"/>
          <w:sz w:val="24"/>
          <w:szCs w:val="24"/>
        </w:rPr>
        <w:t>内容修改或补充的，需经甲方同意，并签订书面补充协议，方可作为主合同不可分割的一部分</w:t>
      </w:r>
      <w:r>
        <w:rPr>
          <w:rFonts w:hint="eastAsia" w:ascii="宋体" w:hAnsi="宋体" w:eastAsia="宋体" w:cs="宋体"/>
          <w:sz w:val="24"/>
          <w:szCs w:val="24"/>
        </w:rPr>
        <w:t>。</w:t>
      </w:r>
    </w:p>
    <w:p w14:paraId="0BA3381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3.本合同未尽事宜，遵照《中华人民共和国民法典》及相关法律有关条文执行。</w:t>
      </w:r>
    </w:p>
    <w:p w14:paraId="1A5F9A8F">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第十六条  合同的变更、终止与转让</w:t>
      </w:r>
    </w:p>
    <w:p w14:paraId="765F6EB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1.本合同一经签订，甲乙双方不得擅自变更，中止或终止。</w:t>
      </w:r>
    </w:p>
    <w:p w14:paraId="647E3C8D">
      <w:pPr>
        <w:keepNext w:val="0"/>
        <w:keepLines w:val="0"/>
        <w:pageBreakBefore w:val="0"/>
        <w:widowControl w:val="0"/>
        <w:tabs>
          <w:tab w:val="left" w:pos="780"/>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2.乙方不得擅自转让(无进口资格的供应商委托进口货物除外)其应履行的合同义务。</w:t>
      </w:r>
    </w:p>
    <w:p w14:paraId="7EF5D29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本合同甲乙双方签字盖章后生效，一式</w:t>
      </w:r>
      <w:r>
        <w:rPr>
          <w:rFonts w:hint="eastAsia" w:ascii="宋体" w:hAnsi="宋体" w:cs="宋体"/>
          <w:sz w:val="24"/>
          <w:szCs w:val="24"/>
          <w:lang w:val="en-US" w:eastAsia="zh-CN"/>
        </w:rPr>
        <w:t>伍</w:t>
      </w:r>
      <w:r>
        <w:rPr>
          <w:rFonts w:hint="eastAsia" w:ascii="宋体" w:hAnsi="宋体" w:eastAsia="宋体" w:cs="宋体"/>
          <w:sz w:val="24"/>
          <w:szCs w:val="24"/>
        </w:rPr>
        <w:t>份，具有同等法律效力，甲方叁份、乙方</w:t>
      </w:r>
      <w:r>
        <w:rPr>
          <w:rFonts w:hint="eastAsia" w:ascii="宋体" w:hAnsi="宋体" w:cs="宋体"/>
          <w:sz w:val="24"/>
          <w:szCs w:val="24"/>
          <w:lang w:val="en-US" w:eastAsia="zh-CN"/>
        </w:rPr>
        <w:t>贰</w:t>
      </w:r>
      <w:r>
        <w:rPr>
          <w:rFonts w:hint="eastAsia" w:ascii="宋体" w:hAnsi="宋体" w:eastAsia="宋体" w:cs="宋体"/>
          <w:sz w:val="24"/>
          <w:szCs w:val="24"/>
        </w:rPr>
        <w:t>份。</w:t>
      </w:r>
    </w:p>
    <w:p w14:paraId="6897BDEC">
      <w:pPr>
        <w:jc w:val="center"/>
        <w:rPr>
          <w:rFonts w:hint="eastAsia" w:ascii="宋体" w:hAnsi="宋体" w:eastAsia="宋体" w:cs="宋体"/>
          <w:b/>
          <w:bCs/>
          <w:color w:val="002EF6"/>
          <w:w w:val="95"/>
          <w:kern w:val="2"/>
          <w:sz w:val="24"/>
          <w:szCs w:val="24"/>
          <w:highlight w:val="none"/>
          <w:lang w:val="en-US" w:eastAsia="zh-CN" w:bidi="ar-SA"/>
        </w:rPr>
      </w:pPr>
    </w:p>
    <w:p w14:paraId="6A5B0388">
      <w:pPr>
        <w:pStyle w:val="4"/>
        <w:rPr>
          <w:rFonts w:hint="eastAsia" w:ascii="宋体" w:hAnsi="宋体" w:eastAsia="宋体" w:cs="宋体"/>
          <w:b/>
          <w:bCs/>
          <w:color w:val="002EF6"/>
          <w:w w:val="95"/>
          <w:kern w:val="2"/>
          <w:sz w:val="24"/>
          <w:szCs w:val="24"/>
          <w:highlight w:val="none"/>
          <w:lang w:val="en-US" w:eastAsia="zh-CN" w:bidi="ar-SA"/>
        </w:rPr>
      </w:pPr>
    </w:p>
    <w:p w14:paraId="21528246">
      <w:pPr>
        <w:rPr>
          <w:rFonts w:hint="eastAsia" w:ascii="宋体" w:hAnsi="宋体" w:eastAsia="宋体" w:cs="宋体"/>
          <w:b/>
          <w:bCs/>
          <w:color w:val="002EF6"/>
          <w:w w:val="95"/>
          <w:kern w:val="2"/>
          <w:sz w:val="24"/>
          <w:szCs w:val="24"/>
          <w:highlight w:val="none"/>
          <w:lang w:val="en-US" w:eastAsia="zh-CN" w:bidi="ar-SA"/>
        </w:rPr>
      </w:pPr>
    </w:p>
    <w:p w14:paraId="2ADBD2A6">
      <w:pPr>
        <w:pStyle w:val="4"/>
        <w:rPr>
          <w:rFonts w:hint="eastAsia" w:ascii="宋体" w:hAnsi="宋体" w:eastAsia="宋体" w:cs="宋体"/>
          <w:b/>
          <w:bCs/>
          <w:color w:val="002EF6"/>
          <w:w w:val="95"/>
          <w:kern w:val="2"/>
          <w:sz w:val="24"/>
          <w:szCs w:val="24"/>
          <w:highlight w:val="none"/>
          <w:lang w:val="en-US" w:eastAsia="zh-CN" w:bidi="ar-SA"/>
        </w:rPr>
      </w:pPr>
    </w:p>
    <w:p w14:paraId="5BD9A28F">
      <w:pPr>
        <w:rPr>
          <w:rFonts w:hint="eastAsia" w:ascii="宋体" w:hAnsi="宋体" w:eastAsia="宋体" w:cs="宋体"/>
          <w:b/>
          <w:bCs/>
          <w:color w:val="002EF6"/>
          <w:w w:val="95"/>
          <w:kern w:val="2"/>
          <w:sz w:val="24"/>
          <w:szCs w:val="24"/>
          <w:highlight w:val="none"/>
          <w:lang w:val="en-US" w:eastAsia="zh-CN" w:bidi="ar-SA"/>
        </w:rPr>
      </w:pPr>
    </w:p>
    <w:p w14:paraId="1A0830CC">
      <w:pPr>
        <w:pStyle w:val="4"/>
        <w:rPr>
          <w:rFonts w:hint="eastAsia" w:ascii="宋体" w:hAnsi="宋体" w:eastAsia="宋体" w:cs="宋体"/>
          <w:b/>
          <w:bCs/>
          <w:color w:val="002EF6"/>
          <w:w w:val="95"/>
          <w:kern w:val="2"/>
          <w:sz w:val="24"/>
          <w:szCs w:val="24"/>
          <w:highlight w:val="none"/>
          <w:lang w:val="en-US" w:eastAsia="zh-CN" w:bidi="ar-SA"/>
        </w:rPr>
      </w:pPr>
    </w:p>
    <w:p w14:paraId="78C43B46">
      <w:pPr>
        <w:rPr>
          <w:rFonts w:hint="eastAsia" w:ascii="宋体" w:hAnsi="宋体" w:eastAsia="宋体" w:cs="宋体"/>
          <w:b/>
          <w:bCs/>
          <w:color w:val="002EF6"/>
          <w:w w:val="95"/>
          <w:kern w:val="2"/>
          <w:sz w:val="24"/>
          <w:szCs w:val="24"/>
          <w:highlight w:val="none"/>
          <w:lang w:val="en-US" w:eastAsia="zh-CN" w:bidi="ar-SA"/>
        </w:rPr>
      </w:pPr>
    </w:p>
    <w:p w14:paraId="3EB27E30">
      <w:pPr>
        <w:pStyle w:val="4"/>
        <w:rPr>
          <w:rFonts w:hint="eastAsia" w:ascii="宋体" w:hAnsi="宋体" w:eastAsia="宋体" w:cs="宋体"/>
          <w:b/>
          <w:bCs/>
          <w:color w:val="002EF6"/>
          <w:w w:val="95"/>
          <w:kern w:val="2"/>
          <w:sz w:val="24"/>
          <w:szCs w:val="24"/>
          <w:highlight w:val="none"/>
          <w:lang w:val="en-US" w:eastAsia="zh-CN" w:bidi="ar-SA"/>
        </w:rPr>
      </w:pPr>
    </w:p>
    <w:p w14:paraId="17813351">
      <w:pPr>
        <w:rPr>
          <w:rFonts w:hint="eastAsia" w:ascii="宋体" w:hAnsi="宋体" w:eastAsia="宋体" w:cs="宋体"/>
          <w:b/>
          <w:bCs/>
          <w:color w:val="002EF6"/>
          <w:w w:val="95"/>
          <w:kern w:val="2"/>
          <w:sz w:val="24"/>
          <w:szCs w:val="24"/>
          <w:highlight w:val="none"/>
          <w:lang w:val="en-US" w:eastAsia="zh-CN" w:bidi="ar-SA"/>
        </w:rPr>
      </w:pPr>
    </w:p>
    <w:p w14:paraId="22017CC7">
      <w:pPr>
        <w:pStyle w:val="4"/>
        <w:rPr>
          <w:rFonts w:hint="eastAsia"/>
          <w:lang w:val="en-US" w:eastAsia="zh-CN"/>
        </w:rPr>
      </w:pPr>
    </w:p>
    <w:p w14:paraId="663D2A1A">
      <w:pPr>
        <w:jc w:val="center"/>
        <w:rPr>
          <w:rFonts w:hint="eastAsia" w:ascii="宋体" w:hAnsi="宋体" w:eastAsia="宋体" w:cs="宋体"/>
          <w:b/>
          <w:bCs/>
          <w:color w:val="002EF6"/>
          <w:w w:val="95"/>
          <w:kern w:val="2"/>
          <w:sz w:val="24"/>
          <w:szCs w:val="24"/>
          <w:highlight w:val="none"/>
          <w:lang w:val="en-US" w:eastAsia="zh-CN" w:bidi="ar-SA"/>
        </w:rPr>
      </w:pPr>
    </w:p>
    <w:p w14:paraId="20F81D7F">
      <w:pPr>
        <w:jc w:val="center"/>
        <w:rPr>
          <w:rFonts w:hint="eastAsia" w:ascii="宋体" w:hAnsi="宋体" w:eastAsia="宋体" w:cs="宋体"/>
          <w:b/>
          <w:bCs/>
          <w:color w:val="002EF6"/>
          <w:w w:val="95"/>
          <w:kern w:val="2"/>
          <w:sz w:val="24"/>
          <w:szCs w:val="24"/>
          <w:highlight w:val="none"/>
          <w:lang w:val="en-US" w:eastAsia="zh-CN" w:bidi="ar-SA"/>
        </w:rPr>
      </w:pPr>
    </w:p>
    <w:p w14:paraId="47C4EDF5">
      <w:pPr>
        <w:jc w:val="center"/>
        <w:rPr>
          <w:rFonts w:hint="eastAsia" w:ascii="宋体" w:hAnsi="宋体" w:eastAsia="宋体" w:cs="宋体"/>
          <w:b/>
          <w:bCs/>
          <w:color w:val="002EF6"/>
          <w:w w:val="95"/>
          <w:kern w:val="2"/>
          <w:sz w:val="24"/>
          <w:szCs w:val="24"/>
          <w:highlight w:val="none"/>
          <w:lang w:val="en-US" w:eastAsia="zh-CN" w:bidi="ar-SA"/>
        </w:rPr>
      </w:pPr>
    </w:p>
    <w:p w14:paraId="71978DBD">
      <w:pPr>
        <w:jc w:val="center"/>
        <w:rPr>
          <w:rFonts w:hint="eastAsia" w:ascii="宋体" w:hAnsi="宋体" w:eastAsia="宋体" w:cs="宋体"/>
          <w:b/>
          <w:bCs/>
          <w:color w:val="auto"/>
          <w:w w:val="95"/>
          <w:kern w:val="2"/>
          <w:sz w:val="24"/>
          <w:szCs w:val="24"/>
          <w:highlight w:val="none"/>
          <w:lang w:val="en-US" w:eastAsia="zh-CN" w:bidi="ar-SA"/>
        </w:rPr>
      </w:pPr>
    </w:p>
    <w:p w14:paraId="021F542D">
      <w:pPr>
        <w:jc w:val="center"/>
        <w:rPr>
          <w:rFonts w:hint="eastAsia" w:ascii="宋体" w:hAnsi="宋体" w:eastAsia="宋体" w:cs="宋体"/>
          <w:b/>
          <w:bCs/>
          <w:color w:val="auto"/>
          <w:w w:val="95"/>
          <w:kern w:val="2"/>
          <w:sz w:val="24"/>
          <w:szCs w:val="24"/>
          <w:highlight w:val="none"/>
          <w:lang w:val="en-US" w:eastAsia="zh-CN" w:bidi="ar-SA"/>
        </w:rPr>
      </w:pPr>
    </w:p>
    <w:p w14:paraId="4C497632">
      <w:pPr>
        <w:jc w:val="center"/>
        <w:rPr>
          <w:rFonts w:hint="eastAsia" w:ascii="宋体" w:hAnsi="宋体" w:eastAsia="宋体" w:cs="宋体"/>
          <w:b/>
          <w:bCs/>
          <w:color w:val="auto"/>
          <w:w w:val="95"/>
          <w:kern w:val="2"/>
          <w:sz w:val="24"/>
          <w:szCs w:val="24"/>
          <w:highlight w:val="none"/>
          <w:lang w:val="en-US" w:eastAsia="zh-CN" w:bidi="ar-SA"/>
        </w:rPr>
      </w:pPr>
    </w:p>
    <w:p w14:paraId="4C616707">
      <w:pPr>
        <w:jc w:val="center"/>
        <w:rPr>
          <w:rFonts w:hint="eastAsia" w:ascii="宋体" w:hAnsi="宋体" w:eastAsia="宋体" w:cs="宋体"/>
          <w:b/>
          <w:bCs/>
          <w:color w:val="auto"/>
          <w:w w:val="95"/>
          <w:kern w:val="2"/>
          <w:sz w:val="24"/>
          <w:szCs w:val="24"/>
          <w:highlight w:val="none"/>
          <w:lang w:val="en-US" w:eastAsia="zh-CN" w:bidi="ar-SA"/>
        </w:rPr>
      </w:pPr>
    </w:p>
    <w:p w14:paraId="6972D99E">
      <w:pPr>
        <w:jc w:val="center"/>
        <w:rPr>
          <w:rFonts w:hint="eastAsia" w:ascii="宋体" w:hAnsi="宋体" w:eastAsia="宋体" w:cs="宋体"/>
          <w:b/>
          <w:bCs/>
          <w:color w:val="auto"/>
          <w:w w:val="95"/>
          <w:kern w:val="2"/>
          <w:sz w:val="24"/>
          <w:szCs w:val="24"/>
          <w:highlight w:val="none"/>
          <w:lang w:val="en-US" w:eastAsia="zh-CN" w:bidi="ar-SA"/>
        </w:rPr>
      </w:pPr>
    </w:p>
    <w:p w14:paraId="67B09870">
      <w:pPr>
        <w:pStyle w:val="4"/>
        <w:rPr>
          <w:rFonts w:hint="eastAsia" w:ascii="宋体" w:hAnsi="宋体" w:eastAsia="宋体" w:cs="宋体"/>
          <w:b/>
          <w:bCs/>
          <w:color w:val="auto"/>
          <w:w w:val="95"/>
          <w:kern w:val="2"/>
          <w:sz w:val="24"/>
          <w:szCs w:val="24"/>
          <w:highlight w:val="none"/>
          <w:lang w:val="en-US" w:eastAsia="zh-CN" w:bidi="ar-SA"/>
        </w:rPr>
      </w:pPr>
    </w:p>
    <w:p w14:paraId="78721175">
      <w:pPr>
        <w:rPr>
          <w:rFonts w:hint="eastAsia"/>
          <w:lang w:val="en-US" w:eastAsia="zh-CN"/>
        </w:rPr>
      </w:pPr>
    </w:p>
    <w:p w14:paraId="379833D8">
      <w:pPr>
        <w:pStyle w:val="2"/>
        <w:rPr>
          <w:rFonts w:hint="eastAsia"/>
          <w:lang w:val="en-US" w:eastAsia="zh-CN"/>
        </w:rPr>
      </w:pPr>
    </w:p>
    <w:p w14:paraId="18FD0F4F">
      <w:pPr>
        <w:rPr>
          <w:rFonts w:hint="eastAsia"/>
          <w:lang w:val="en-US" w:eastAsia="zh-CN"/>
        </w:rPr>
      </w:pPr>
    </w:p>
    <w:p w14:paraId="6D37FBCB">
      <w:pPr>
        <w:jc w:val="center"/>
        <w:rPr>
          <w:rFonts w:hint="eastAsia" w:ascii="宋体" w:hAnsi="宋体" w:eastAsia="宋体" w:cs="宋体"/>
          <w:b/>
          <w:bCs/>
          <w:color w:val="auto"/>
          <w:w w:val="95"/>
          <w:kern w:val="2"/>
          <w:sz w:val="24"/>
          <w:szCs w:val="24"/>
          <w:highlight w:val="none"/>
          <w:lang w:val="en-US" w:eastAsia="zh-CN" w:bidi="ar-SA"/>
        </w:rPr>
      </w:pPr>
    </w:p>
    <w:p w14:paraId="51F0D41C">
      <w:pPr>
        <w:jc w:val="center"/>
        <w:rPr>
          <w:rFonts w:hint="eastAsia" w:ascii="宋体" w:hAnsi="宋体" w:eastAsia="宋体" w:cs="宋体"/>
          <w:b/>
          <w:color w:val="auto"/>
          <w:sz w:val="30"/>
          <w:szCs w:val="30"/>
          <w:lang w:val="en-US" w:eastAsia="zh-CN"/>
        </w:rPr>
      </w:pPr>
      <w:r>
        <w:rPr>
          <w:rFonts w:hint="eastAsia" w:ascii="宋体" w:hAnsi="宋体" w:eastAsia="宋体" w:cs="宋体"/>
          <w:b/>
          <w:bCs/>
          <w:color w:val="auto"/>
          <w:w w:val="95"/>
          <w:kern w:val="2"/>
          <w:sz w:val="30"/>
          <w:szCs w:val="30"/>
          <w:highlight w:val="none"/>
          <w:lang w:val="en-US" w:eastAsia="zh-CN" w:bidi="ar-SA"/>
        </w:rPr>
        <w:t>第三章  评分标准</w:t>
      </w:r>
    </w:p>
    <w:p w14:paraId="7E88A1FB">
      <w:pPr>
        <w:pStyle w:val="12"/>
        <w:keepNext w:val="0"/>
        <w:keepLines w:val="0"/>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对进入详评的，采用综合评估法。</w:t>
      </w:r>
    </w:p>
    <w:p w14:paraId="1DB22DE2">
      <w:pPr>
        <w:pStyle w:val="12"/>
        <w:keepNext w:val="0"/>
        <w:keepLines w:val="0"/>
        <w:pageBreakBefore w:val="0"/>
        <w:widowControl w:val="0"/>
        <w:kinsoku/>
        <w:wordWrap/>
        <w:overflowPunct/>
        <w:topLinePunct w:val="0"/>
        <w:autoSpaceDE/>
        <w:autoSpaceDN/>
        <w:bidi w:val="0"/>
        <w:adjustRightInd/>
        <w:snapToGrid/>
        <w:spacing w:line="37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计分办法（按四舍五入取至小数点后二位）</w:t>
      </w:r>
    </w:p>
    <w:p w14:paraId="0C979E62">
      <w:pPr>
        <w:keepNext w:val="0"/>
        <w:keepLines w:val="0"/>
        <w:pageBreakBefore w:val="0"/>
        <w:widowControl w:val="0"/>
        <w:kinsoku/>
        <w:wordWrap/>
        <w:overflowPunct/>
        <w:topLinePunct w:val="0"/>
        <w:autoSpaceDE/>
        <w:autoSpaceDN/>
        <w:bidi w:val="0"/>
        <w:adjustRightInd/>
        <w:snapToGrid/>
        <w:spacing w:line="370" w:lineRule="exact"/>
        <w:ind w:firstLine="482"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bCs/>
          <w:color w:val="auto"/>
          <w:kern w:val="0"/>
          <w:sz w:val="24"/>
          <w:szCs w:val="24"/>
          <w:highlight w:val="none"/>
        </w:rPr>
        <w:t>价格分</w:t>
      </w:r>
      <w:r>
        <w:rPr>
          <w:rFonts w:hint="eastAsia" w:ascii="宋体" w:hAnsi="宋体" w:eastAsia="宋体" w:cs="宋体"/>
          <w:bCs/>
          <w:color w:val="auto"/>
          <w:kern w:val="0"/>
          <w:sz w:val="24"/>
          <w:szCs w:val="24"/>
          <w:highlight w:val="none"/>
        </w:rPr>
        <w:t>……………………………………………………………………………</w:t>
      </w:r>
      <w:r>
        <w:rPr>
          <w:rFonts w:hint="eastAsia" w:ascii="宋体" w:hAnsi="宋体" w:eastAsia="宋体" w:cs="宋体"/>
          <w:b/>
          <w:color w:val="auto"/>
          <w:kern w:val="0"/>
          <w:sz w:val="24"/>
          <w:szCs w:val="24"/>
          <w:highlight w:val="none"/>
          <w:lang w:val="en-US" w:eastAsia="zh-CN"/>
        </w:rPr>
        <w:t>45</w:t>
      </w:r>
      <w:r>
        <w:rPr>
          <w:rFonts w:hint="eastAsia" w:ascii="宋体" w:hAnsi="宋体" w:eastAsia="宋体" w:cs="宋体"/>
          <w:b/>
          <w:color w:val="auto"/>
          <w:kern w:val="0"/>
          <w:sz w:val="24"/>
          <w:szCs w:val="24"/>
          <w:highlight w:val="none"/>
        </w:rPr>
        <w:t>分</w:t>
      </w:r>
    </w:p>
    <w:p w14:paraId="489EF394">
      <w:pPr>
        <w:pStyle w:val="12"/>
        <w:keepNext w:val="0"/>
        <w:keepLines w:val="0"/>
        <w:pageBreakBefore w:val="0"/>
        <w:widowControl w:val="0"/>
        <w:kinsoku/>
        <w:wordWrap/>
        <w:overflowPunct/>
        <w:topLinePunct w:val="0"/>
        <w:autoSpaceDE/>
        <w:autoSpaceDN/>
        <w:bidi w:val="0"/>
        <w:adjustRightInd/>
        <w:snapToGrid/>
        <w:spacing w:line="300" w:lineRule="exact"/>
        <w:ind w:firstLine="410" w:firstLineChars="171"/>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（1）以进入评标的最低的报价为</w:t>
      </w:r>
      <w:r>
        <w:rPr>
          <w:rFonts w:hint="eastAsia" w:hAnsi="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分。</w:t>
      </w:r>
    </w:p>
    <w:p w14:paraId="660DE25A">
      <w:pPr>
        <w:pStyle w:val="12"/>
        <w:keepNext w:val="0"/>
        <w:keepLines w:val="0"/>
        <w:pageBreakBefore w:val="0"/>
        <w:widowControl w:val="0"/>
        <w:kinsoku/>
        <w:wordWrap/>
        <w:overflowPunct/>
        <w:topLinePunct w:val="0"/>
        <w:autoSpaceDE/>
        <w:autoSpaceDN/>
        <w:bidi w:val="0"/>
        <w:adjustRightInd/>
        <w:snapToGrid/>
        <w:spacing w:line="300" w:lineRule="exact"/>
        <w:ind w:firstLine="3360" w:firstLineChars="14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最低</w:t>
      </w:r>
      <w:r>
        <w:rPr>
          <w:rFonts w:hint="eastAsia"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 xml:space="preserve">报价金额          </w:t>
      </w:r>
    </w:p>
    <w:p w14:paraId="72CC1DE1">
      <w:pPr>
        <w:pStyle w:val="12"/>
        <w:keepNext w:val="0"/>
        <w:keepLines w:val="0"/>
        <w:pageBreakBefore w:val="0"/>
        <w:widowControl w:val="0"/>
        <w:kinsoku/>
        <w:wordWrap/>
        <w:overflowPunct/>
        <w:topLinePunct w:val="0"/>
        <w:autoSpaceDE/>
        <w:autoSpaceDN/>
        <w:bidi w:val="0"/>
        <w:adjustRightInd/>
        <w:snapToGrid/>
        <w:spacing w:line="300" w:lineRule="exact"/>
        <w:ind w:firstLine="410" w:firstLineChars="171"/>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156210</wp:posOffset>
                </wp:positionV>
                <wp:extent cx="2200275" cy="0"/>
                <wp:effectExtent l="0" t="4445" r="0" b="5080"/>
                <wp:wrapNone/>
                <wp:docPr id="1" name="直线 112"/>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2" o:spid="_x0000_s1026" o:spt="20" style="position:absolute;left:0pt;margin-left:144pt;margin-top:12.3pt;height:0pt;width:173.25pt;z-index:251659264;mso-width-relative:page;mso-height-relative:page;" filled="f" stroked="t" coordsize="21600,21600" o:gfxdata="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kZw7nXAAAACQEAAA8A&#10;AAAAAAAAAQAgAAAAIgAAAGRycy9kb3ducmV2LnhtbFBLAQIUABQAAAAIAIdO4kDBrseb3wEAANE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eastAsia="宋体" w:cs="宋体"/>
          <w:b w:val="0"/>
          <w:bCs w:val="0"/>
          <w:color w:val="auto"/>
          <w:sz w:val="24"/>
          <w:szCs w:val="24"/>
          <w:highlight w:val="none"/>
        </w:rPr>
        <w:t>（2）</w:t>
      </w:r>
      <w:r>
        <w:rPr>
          <w:rFonts w:hint="eastAsia"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价格分 =                                　       ×</w:t>
      </w:r>
      <w:r>
        <w:rPr>
          <w:rFonts w:hint="eastAsia" w:ascii="宋体" w:hAnsi="宋体" w:eastAsia="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分</w:t>
      </w:r>
    </w:p>
    <w:p w14:paraId="0E155A67">
      <w:pPr>
        <w:pStyle w:val="12"/>
        <w:keepNext w:val="0"/>
        <w:keepLines w:val="0"/>
        <w:pageBreakBefore w:val="0"/>
        <w:widowControl w:val="0"/>
        <w:kinsoku/>
        <w:wordWrap/>
        <w:overflowPunct/>
        <w:topLinePunct w:val="0"/>
        <w:autoSpaceDE/>
        <w:autoSpaceDN/>
        <w:bidi w:val="0"/>
        <w:adjustRightInd/>
        <w:snapToGrid/>
        <w:spacing w:line="300" w:lineRule="exact"/>
        <w:ind w:firstLine="612" w:firstLineChars="255"/>
        <w:textAlignment w:val="auto"/>
        <w:rPr>
          <w:rFonts w:hint="eastAsia" w:ascii="宋体" w:hAnsi="宋体" w:eastAsia="宋体" w:cs="宋体"/>
          <w:b/>
          <w:color w:val="auto"/>
          <w:kern w:val="0"/>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lang w:val="en-US" w:eastAsia="zh-CN"/>
        </w:rPr>
        <w:t>某供应商</w:t>
      </w:r>
      <w:r>
        <w:rPr>
          <w:rFonts w:hint="eastAsia" w:ascii="宋体" w:hAnsi="宋体" w:eastAsia="宋体" w:cs="宋体"/>
          <w:b w:val="0"/>
          <w:bCs w:val="0"/>
          <w:color w:val="auto"/>
          <w:sz w:val="24"/>
          <w:szCs w:val="24"/>
          <w:highlight w:val="none"/>
        </w:rPr>
        <w:t xml:space="preserve">报价金额    </w:t>
      </w:r>
    </w:p>
    <w:p w14:paraId="568CAAA9">
      <w:pPr>
        <w:keepNext w:val="0"/>
        <w:keepLines w:val="0"/>
        <w:pageBreakBefore w:val="0"/>
        <w:widowControl w:val="0"/>
        <w:kinsoku/>
        <w:wordWrap/>
        <w:overflowPunct/>
        <w:topLinePunct w:val="0"/>
        <w:autoSpaceDE/>
        <w:autoSpaceDN/>
        <w:bidi w:val="0"/>
        <w:adjustRightInd/>
        <w:snapToGrid/>
        <w:spacing w:line="370" w:lineRule="exact"/>
        <w:ind w:firstLine="482" w:firstLineChars="200"/>
        <w:textAlignment w:val="auto"/>
        <w:rPr>
          <w:rFonts w:hint="eastAsia" w:ascii="宋体" w:hAnsi="宋体" w:eastAsia="宋体" w:cs="宋体"/>
          <w:color w:val="auto"/>
          <w:kern w:val="0"/>
          <w:sz w:val="24"/>
          <w:szCs w:val="24"/>
          <w:highlight w:val="red"/>
        </w:rPr>
      </w:pPr>
      <w:r>
        <w:rPr>
          <w:rFonts w:hint="eastAsia" w:ascii="宋体" w:hAnsi="宋体" w:eastAsia="宋体" w:cs="宋体"/>
          <w:b/>
          <w:color w:val="auto"/>
          <w:kern w:val="0"/>
          <w:sz w:val="24"/>
          <w:szCs w:val="24"/>
          <w:highlight w:val="none"/>
        </w:rPr>
        <w:t>2.货物性能分</w:t>
      </w:r>
      <w:r>
        <w:rPr>
          <w:rFonts w:hint="eastAsia" w:ascii="宋体" w:hAnsi="宋体" w:eastAsia="宋体" w:cs="宋体"/>
          <w:bCs/>
          <w:color w:val="auto"/>
          <w:kern w:val="0"/>
          <w:sz w:val="24"/>
          <w:szCs w:val="24"/>
          <w:highlight w:val="none"/>
        </w:rPr>
        <w:t>………………………………………………………………………</w:t>
      </w:r>
      <w:r>
        <w:rPr>
          <w:rFonts w:hint="eastAsia" w:ascii="宋体" w:hAnsi="宋体" w:eastAsia="宋体" w:cs="宋体"/>
          <w:b/>
          <w:color w:val="auto"/>
          <w:kern w:val="0"/>
          <w:sz w:val="24"/>
          <w:szCs w:val="24"/>
          <w:highlight w:val="none"/>
          <w:lang w:val="en-US" w:eastAsia="zh-CN"/>
        </w:rPr>
        <w:t>35</w:t>
      </w:r>
      <w:r>
        <w:rPr>
          <w:rFonts w:hint="eastAsia" w:ascii="宋体" w:hAnsi="宋体" w:eastAsia="宋体" w:cs="宋体"/>
          <w:b/>
          <w:color w:val="auto"/>
          <w:kern w:val="0"/>
          <w:sz w:val="24"/>
          <w:szCs w:val="24"/>
          <w:highlight w:val="none"/>
        </w:rPr>
        <w:t>分</w:t>
      </w:r>
    </w:p>
    <w:p w14:paraId="20E1837A">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）基本分：</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所</w:t>
      </w:r>
      <w:r>
        <w:rPr>
          <w:rFonts w:hint="eastAsia" w:ascii="宋体" w:hAnsi="宋体" w:cs="宋体"/>
          <w:color w:val="auto"/>
          <w:kern w:val="0"/>
          <w:sz w:val="24"/>
          <w:szCs w:val="24"/>
          <w:highlight w:val="none"/>
          <w:lang w:val="en-US" w:eastAsia="zh-CN"/>
        </w:rPr>
        <w:t>报</w:t>
      </w:r>
      <w:r>
        <w:rPr>
          <w:rFonts w:hint="eastAsia" w:ascii="宋体" w:hAnsi="宋体" w:eastAsia="宋体" w:cs="宋体"/>
          <w:color w:val="auto"/>
          <w:kern w:val="0"/>
          <w:sz w:val="24"/>
          <w:szCs w:val="24"/>
          <w:highlight w:val="none"/>
        </w:rPr>
        <w:t>产品满足</w:t>
      </w:r>
      <w:r>
        <w:rPr>
          <w:rFonts w:hint="eastAsia" w:ascii="宋体" w:hAnsi="宋体" w:cs="宋体"/>
          <w:color w:val="auto"/>
          <w:kern w:val="0"/>
          <w:sz w:val="24"/>
          <w:szCs w:val="24"/>
          <w:highlight w:val="none"/>
          <w:lang w:val="en-US" w:eastAsia="zh-CN"/>
        </w:rPr>
        <w:t>议价</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“货物招标需求”“项目要求及技术需求”中</w:t>
      </w:r>
      <w:r>
        <w:rPr>
          <w:rFonts w:hint="eastAsia" w:ascii="宋体" w:hAnsi="宋体" w:eastAsia="宋体" w:cs="宋体"/>
          <w:color w:val="auto"/>
          <w:kern w:val="0"/>
          <w:sz w:val="24"/>
          <w:szCs w:val="24"/>
          <w:highlight w:val="none"/>
          <w:lang w:eastAsia="zh-CN"/>
        </w:rPr>
        <w:t>全部</w:t>
      </w:r>
      <w:r>
        <w:rPr>
          <w:rFonts w:hint="eastAsia" w:ascii="宋体" w:hAnsi="宋体" w:eastAsia="宋体" w:cs="宋体"/>
          <w:color w:val="auto"/>
          <w:kern w:val="0"/>
          <w:sz w:val="24"/>
          <w:szCs w:val="24"/>
          <w:highlight w:val="none"/>
        </w:rPr>
        <w:t>实质性要求的，即得</w:t>
      </w:r>
      <w:r>
        <w:rPr>
          <w:rFonts w:hint="eastAsia" w:ascii="宋体" w:hAnsi="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6E8E70B1">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所</w:t>
      </w:r>
      <w:r>
        <w:rPr>
          <w:rFonts w:hint="eastAsia" w:ascii="宋体" w:hAnsi="宋体" w:cs="宋体"/>
          <w:color w:val="auto"/>
          <w:kern w:val="0"/>
          <w:sz w:val="24"/>
          <w:szCs w:val="24"/>
          <w:highlight w:val="none"/>
          <w:lang w:val="en-US" w:eastAsia="zh-CN"/>
        </w:rPr>
        <w:t>报</w:t>
      </w:r>
      <w:r>
        <w:rPr>
          <w:rFonts w:hint="eastAsia" w:ascii="宋体" w:hAnsi="宋体" w:eastAsia="宋体" w:cs="宋体"/>
          <w:color w:val="auto"/>
          <w:kern w:val="0"/>
          <w:sz w:val="24"/>
          <w:szCs w:val="24"/>
          <w:highlight w:val="none"/>
          <w:lang w:eastAsia="zh-CN"/>
        </w:rPr>
        <w:t>产品对“</w:t>
      </w:r>
      <w:r>
        <w:rPr>
          <w:rFonts w:hint="eastAsia" w:ascii="宋体" w:hAnsi="宋体" w:eastAsia="宋体" w:cs="宋体"/>
          <w:color w:val="auto"/>
          <w:kern w:val="0"/>
          <w:sz w:val="24"/>
          <w:szCs w:val="24"/>
          <w:highlight w:val="none"/>
        </w:rPr>
        <w:t>货物招标需求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“项目要求及技术需求”中未标注“★”</w:t>
      </w:r>
      <w:r>
        <w:rPr>
          <w:rFonts w:hint="eastAsia" w:ascii="宋体" w:hAnsi="宋体" w:eastAsia="宋体" w:cs="宋体"/>
          <w:color w:val="auto"/>
          <w:kern w:val="0"/>
          <w:sz w:val="24"/>
          <w:szCs w:val="24"/>
          <w:highlight w:val="none"/>
          <w:lang w:eastAsia="zh-CN"/>
        </w:rPr>
        <w:t>的非实质性要求发生负偏离时，得分</w:t>
      </w:r>
      <w:r>
        <w:rPr>
          <w:rFonts w:hint="eastAsia" w:ascii="宋体" w:hAnsi="宋体" w:eastAsia="宋体" w:cs="宋体"/>
          <w:color w:val="auto"/>
          <w:kern w:val="0"/>
          <w:sz w:val="24"/>
          <w:szCs w:val="24"/>
          <w:highlight w:val="none"/>
          <w:lang w:val="en-US" w:eastAsia="zh-CN"/>
        </w:rPr>
        <w:t>=基本分（35分）-累计扣分分值</w:t>
      </w:r>
      <w:r>
        <w:rPr>
          <w:rFonts w:hint="eastAsia" w:ascii="宋体" w:hAnsi="宋体" w:eastAsia="宋体" w:cs="宋体"/>
          <w:color w:val="auto"/>
          <w:kern w:val="0"/>
          <w:sz w:val="24"/>
          <w:szCs w:val="24"/>
          <w:highlight w:val="none"/>
        </w:rPr>
        <w:t>（即：</w:t>
      </w:r>
      <w:r>
        <w:rPr>
          <w:rFonts w:hint="eastAsia" w:ascii="宋体" w:hAnsi="宋体" w:eastAsia="宋体" w:cs="宋体"/>
          <w:color w:val="auto"/>
          <w:kern w:val="0"/>
          <w:sz w:val="24"/>
          <w:szCs w:val="24"/>
          <w:highlight w:val="none"/>
          <w:lang w:eastAsia="zh-CN"/>
        </w:rPr>
        <w:t>每</w:t>
      </w:r>
      <w:r>
        <w:rPr>
          <w:rFonts w:hint="eastAsia" w:ascii="宋体" w:hAnsi="宋体" w:eastAsia="宋体" w:cs="宋体"/>
          <w:color w:val="auto"/>
          <w:kern w:val="0"/>
          <w:sz w:val="24"/>
          <w:szCs w:val="24"/>
          <w:highlight w:val="none"/>
        </w:rPr>
        <w:t>有一项负偏离的扣</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分，最多扣</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，未标注★号项的技术参数出现负偏离数≥6项时，</w:t>
      </w:r>
      <w:r>
        <w:rPr>
          <w:rFonts w:hint="eastAsia" w:ascii="宋体" w:hAnsi="宋体" w:cs="宋体"/>
          <w:color w:val="auto"/>
          <w:kern w:val="0"/>
          <w:sz w:val="24"/>
          <w:szCs w:val="24"/>
          <w:highlight w:val="none"/>
          <w:lang w:eastAsia="zh-CN"/>
        </w:rPr>
        <w:t>报价文件</w:t>
      </w:r>
      <w:r>
        <w:rPr>
          <w:rFonts w:hint="eastAsia" w:ascii="宋体" w:hAnsi="宋体" w:eastAsia="宋体" w:cs="宋体"/>
          <w:color w:val="auto"/>
          <w:kern w:val="0"/>
          <w:sz w:val="24"/>
          <w:szCs w:val="24"/>
          <w:highlight w:val="none"/>
          <w:lang w:eastAsia="zh-CN"/>
        </w:rPr>
        <w:t>作无效处理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7AA99D1E">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注：</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提交的</w:t>
      </w:r>
      <w:r>
        <w:rPr>
          <w:rFonts w:hint="eastAsia" w:ascii="宋体" w:hAnsi="宋体" w:cs="宋体"/>
          <w:color w:val="auto"/>
          <w:kern w:val="0"/>
          <w:sz w:val="24"/>
          <w:szCs w:val="24"/>
          <w:highlight w:val="none"/>
          <w:lang w:eastAsia="zh-CN"/>
        </w:rPr>
        <w:t>报价文件</w:t>
      </w:r>
      <w:r>
        <w:rPr>
          <w:rFonts w:hint="eastAsia" w:ascii="宋体" w:hAnsi="宋体" w:eastAsia="宋体" w:cs="宋体"/>
          <w:color w:val="auto"/>
          <w:kern w:val="0"/>
          <w:sz w:val="24"/>
          <w:szCs w:val="24"/>
          <w:highlight w:val="none"/>
        </w:rPr>
        <w:t>未按</w:t>
      </w:r>
      <w:r>
        <w:rPr>
          <w:rFonts w:hint="eastAsia" w:ascii="宋体" w:hAnsi="宋体" w:eastAsia="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要求提供</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证明材料</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或所提供的证明材料不满足相应技术需求的，相应视为负偏离；</w:t>
      </w:r>
      <w:r>
        <w:rPr>
          <w:rFonts w:hint="eastAsia" w:ascii="宋体" w:hAnsi="宋体" w:cs="宋体"/>
          <w:color w:val="auto"/>
          <w:kern w:val="0"/>
          <w:sz w:val="24"/>
          <w:szCs w:val="24"/>
          <w:highlight w:val="none"/>
          <w:lang w:eastAsia="zh-CN"/>
        </w:rPr>
        <w:t>报价文件</w:t>
      </w:r>
      <w:r>
        <w:rPr>
          <w:rFonts w:hint="eastAsia" w:ascii="宋体" w:hAnsi="宋体" w:eastAsia="宋体" w:cs="宋体"/>
          <w:color w:val="auto"/>
          <w:kern w:val="0"/>
          <w:sz w:val="24"/>
          <w:szCs w:val="24"/>
          <w:highlight w:val="none"/>
        </w:rPr>
        <w:t>中响应承诺与证明材料不一致的以证明材料为准。</w:t>
      </w:r>
    </w:p>
    <w:p w14:paraId="3ACF0805">
      <w:pPr>
        <w:pStyle w:val="12"/>
        <w:keepNext w:val="0"/>
        <w:keepLines w:val="0"/>
        <w:pageBreakBefore w:val="0"/>
        <w:widowControl w:val="0"/>
        <w:kinsoku/>
        <w:wordWrap/>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.售后服务方案分…………………………………………………………………</w:t>
      </w:r>
      <w:r>
        <w:rPr>
          <w:rFonts w:hint="eastAsia" w:ascii="宋体" w:hAnsi="宋体" w:eastAsia="宋体" w:cs="宋体"/>
          <w:b/>
          <w:color w:val="auto"/>
          <w:sz w:val="24"/>
          <w:szCs w:val="24"/>
          <w:highlight w:val="none"/>
          <w:lang w:val="en-US" w:eastAsia="zh-CN"/>
        </w:rPr>
        <w:t>16</w:t>
      </w:r>
      <w:r>
        <w:rPr>
          <w:rFonts w:hint="eastAsia" w:ascii="宋体" w:hAnsi="宋体" w:eastAsia="宋体" w:cs="宋体"/>
          <w:b/>
          <w:color w:val="auto"/>
          <w:sz w:val="24"/>
          <w:szCs w:val="24"/>
          <w:highlight w:val="none"/>
        </w:rPr>
        <w:t>分</w:t>
      </w:r>
    </w:p>
    <w:p w14:paraId="62649C0C">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NZ"/>
        </w:rPr>
        <w:t>评委根据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提供的售后服务方案</w:t>
      </w:r>
      <w:r>
        <w:rPr>
          <w:rFonts w:hint="eastAsia" w:ascii="宋体" w:hAnsi="宋体" w:eastAsia="宋体" w:cs="宋体"/>
          <w:color w:val="auto"/>
          <w:sz w:val="24"/>
          <w:szCs w:val="24"/>
          <w:highlight w:val="none"/>
          <w:lang w:val="en-NZ" w:eastAsia="zh-CN"/>
        </w:rPr>
        <w:t>（</w:t>
      </w:r>
      <w:r>
        <w:rPr>
          <w:rFonts w:hint="eastAsia" w:ascii="宋体" w:hAnsi="宋体" w:eastAsia="宋体" w:cs="宋体"/>
          <w:color w:val="auto"/>
          <w:sz w:val="24"/>
          <w:szCs w:val="24"/>
          <w:highlight w:val="none"/>
          <w:lang w:val="en-NZ"/>
        </w:rPr>
        <w:t>包含但不限于：</w:t>
      </w:r>
      <w:r>
        <w:rPr>
          <w:rFonts w:hint="eastAsia" w:ascii="宋体" w:hAnsi="宋体" w:eastAsia="宋体" w:cs="宋体"/>
          <w:sz w:val="24"/>
          <w:szCs w:val="24"/>
          <w:highlight w:val="none"/>
        </w:rPr>
        <w:t>①售后服务保障措施</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故障出现解决方案；②车辆检查及保养方案；③技术服务及技术培训方案；④</w:t>
      </w:r>
      <w:r>
        <w:rPr>
          <w:rFonts w:hint="eastAsia" w:ascii="宋体" w:hAnsi="宋体" w:eastAsia="宋体" w:cs="宋体"/>
          <w:sz w:val="24"/>
          <w:szCs w:val="24"/>
          <w:highlight w:val="none"/>
          <w:lang w:eastAsia="zh-CN"/>
        </w:rPr>
        <w:t>保修期</w:t>
      </w:r>
      <w:r>
        <w:rPr>
          <w:rFonts w:hint="eastAsia" w:ascii="宋体" w:hAnsi="宋体" w:eastAsia="宋体" w:cs="宋体"/>
          <w:sz w:val="24"/>
          <w:szCs w:val="24"/>
          <w:highlight w:val="none"/>
        </w:rPr>
        <w:t>外维修方案</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其他增值售后服务</w:t>
      </w:r>
      <w:r>
        <w:rPr>
          <w:rFonts w:hint="eastAsia" w:ascii="宋体" w:hAnsi="宋体" w:eastAsia="宋体" w:cs="宋体"/>
          <w:sz w:val="24"/>
          <w:szCs w:val="24"/>
          <w:highlight w:val="none"/>
          <w:lang w:eastAsia="zh-CN"/>
        </w:rPr>
        <w:t>方案</w:t>
      </w:r>
      <w:r>
        <w:rPr>
          <w:rFonts w:hint="eastAsia" w:ascii="宋体" w:hAnsi="宋体" w:eastAsia="宋体" w:cs="宋体"/>
          <w:color w:val="auto"/>
          <w:sz w:val="24"/>
          <w:szCs w:val="24"/>
          <w:highlight w:val="none"/>
          <w:lang w:val="en-NZ"/>
        </w:rPr>
        <w:t>等</w:t>
      </w:r>
      <w:r>
        <w:rPr>
          <w:rFonts w:hint="eastAsia" w:ascii="宋体" w:hAnsi="宋体" w:eastAsia="宋体" w:cs="宋体"/>
          <w:color w:val="auto"/>
          <w:sz w:val="24"/>
          <w:szCs w:val="24"/>
          <w:highlight w:val="none"/>
          <w:lang w:val="en-NZ" w:eastAsia="zh-CN"/>
        </w:rPr>
        <w:t>）</w:t>
      </w:r>
      <w:r>
        <w:rPr>
          <w:rFonts w:hint="eastAsia" w:ascii="宋体" w:hAnsi="宋体" w:eastAsia="宋体" w:cs="宋体"/>
          <w:color w:val="auto"/>
          <w:sz w:val="24"/>
          <w:szCs w:val="24"/>
          <w:highlight w:val="none"/>
          <w:lang w:val="en-NZ"/>
        </w:rPr>
        <w:t xml:space="preserve">内容进行独立评审打分： </w:t>
      </w:r>
    </w:p>
    <w:p w14:paraId="1FF9788F">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一档（0分）：</w:t>
      </w:r>
      <w:r>
        <w:rPr>
          <w:rFonts w:hint="eastAsia" w:ascii="宋体" w:hAnsi="宋体" w:eastAsia="宋体" w:cs="宋体"/>
          <w:color w:val="auto"/>
          <w:sz w:val="24"/>
          <w:szCs w:val="24"/>
          <w:highlight w:val="none"/>
        </w:rPr>
        <w:t>四项评审因素</w:t>
      </w:r>
      <w:r>
        <w:rPr>
          <w:rFonts w:hint="eastAsia" w:ascii="宋体" w:hAnsi="宋体" w:eastAsia="宋体" w:cs="宋体"/>
          <w:color w:val="auto"/>
          <w:kern w:val="0"/>
          <w:sz w:val="24"/>
          <w:szCs w:val="24"/>
          <w:highlight w:val="none"/>
          <w:lang w:val="en-US" w:eastAsia="zh-CN" w:bidi="ar-SA"/>
        </w:rPr>
        <w:t>经评审均不合理、不可行；</w:t>
      </w:r>
    </w:p>
    <w:p w14:paraId="78713CA5">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二档（4分）：</w:t>
      </w:r>
      <w:r>
        <w:rPr>
          <w:rFonts w:hint="eastAsia" w:ascii="宋体" w:hAnsi="宋体" w:eastAsia="宋体" w:cs="宋体"/>
          <w:color w:val="auto"/>
          <w:sz w:val="24"/>
          <w:szCs w:val="24"/>
          <w:highlight w:val="none"/>
        </w:rPr>
        <w:t>四项</w:t>
      </w:r>
      <w:r>
        <w:rPr>
          <w:rFonts w:hint="eastAsia" w:ascii="宋体" w:hAnsi="宋体" w:eastAsia="宋体" w:cs="宋体"/>
          <w:color w:val="auto"/>
          <w:kern w:val="0"/>
          <w:sz w:val="24"/>
          <w:szCs w:val="24"/>
          <w:highlight w:val="none"/>
          <w:lang w:val="en-US" w:eastAsia="zh-CN" w:bidi="ar-SA"/>
        </w:rPr>
        <w:t>评审因素有二项内容经评审合理、可行；</w:t>
      </w:r>
    </w:p>
    <w:p w14:paraId="42C2CC0E">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三档（8分）：</w:t>
      </w:r>
      <w:r>
        <w:rPr>
          <w:rFonts w:hint="eastAsia" w:ascii="宋体" w:hAnsi="宋体" w:eastAsia="宋体" w:cs="宋体"/>
          <w:color w:val="auto"/>
          <w:sz w:val="24"/>
          <w:szCs w:val="24"/>
          <w:highlight w:val="none"/>
        </w:rPr>
        <w:t>四项</w:t>
      </w:r>
      <w:r>
        <w:rPr>
          <w:rFonts w:hint="eastAsia" w:ascii="宋体" w:hAnsi="宋体" w:eastAsia="宋体" w:cs="宋体"/>
          <w:color w:val="auto"/>
          <w:kern w:val="0"/>
          <w:sz w:val="24"/>
          <w:szCs w:val="24"/>
          <w:highlight w:val="none"/>
          <w:lang w:val="en-US" w:eastAsia="zh-CN" w:bidi="ar-SA"/>
        </w:rPr>
        <w:t>评审因素有三项内容经评审合理、可行；</w:t>
      </w:r>
    </w:p>
    <w:p w14:paraId="324D9A54">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四档（12分）：</w:t>
      </w:r>
      <w:r>
        <w:rPr>
          <w:rFonts w:hint="eastAsia" w:ascii="宋体" w:hAnsi="宋体" w:eastAsia="宋体" w:cs="宋体"/>
          <w:color w:val="auto"/>
          <w:sz w:val="24"/>
          <w:szCs w:val="24"/>
          <w:highlight w:val="none"/>
        </w:rPr>
        <w:t>四项</w:t>
      </w:r>
      <w:r>
        <w:rPr>
          <w:rFonts w:hint="eastAsia" w:ascii="宋体" w:hAnsi="宋体" w:eastAsia="宋体" w:cs="宋体"/>
          <w:color w:val="auto"/>
          <w:kern w:val="0"/>
          <w:sz w:val="24"/>
          <w:szCs w:val="24"/>
          <w:highlight w:val="none"/>
          <w:lang w:val="en-US" w:eastAsia="zh-CN" w:bidi="ar-SA"/>
        </w:rPr>
        <w:t>评审因素经评审均合理、可行；</w:t>
      </w:r>
    </w:p>
    <w:p w14:paraId="35677753">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en-US" w:eastAsia="zh-CN"/>
        </w:rPr>
        <w:t>五档（16分）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四项</w:t>
      </w:r>
      <w:r>
        <w:rPr>
          <w:rFonts w:hint="eastAsia" w:ascii="宋体" w:hAnsi="宋体" w:eastAsia="宋体" w:cs="宋体"/>
          <w:color w:val="auto"/>
          <w:kern w:val="0"/>
          <w:sz w:val="24"/>
          <w:szCs w:val="24"/>
          <w:highlight w:val="none"/>
          <w:lang w:val="en-US" w:eastAsia="zh-CN" w:bidi="ar-SA"/>
        </w:rPr>
        <w:t>评审因素经评审均合理、可行且具有针对性的。</w:t>
      </w:r>
    </w:p>
    <w:p w14:paraId="3139438A">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履约能力分</w:t>
      </w:r>
      <w:r>
        <w:rPr>
          <w:rFonts w:hint="eastAsia" w:ascii="宋体" w:hAnsi="宋体" w:eastAsia="宋体" w:cs="宋体"/>
          <w:bCs/>
          <w:color w:val="auto"/>
          <w:kern w:val="0"/>
          <w:sz w:val="24"/>
          <w:szCs w:val="24"/>
          <w:highlight w:val="none"/>
        </w:rPr>
        <w:t>………………………………………………………………………</w:t>
      </w:r>
      <w:r>
        <w:rPr>
          <w:rFonts w:hint="eastAsia" w:ascii="宋体" w:hAnsi="宋体" w:eastAsia="宋体" w:cs="宋体"/>
          <w:b/>
          <w:color w:val="auto"/>
          <w:kern w:val="0"/>
          <w:sz w:val="24"/>
          <w:szCs w:val="24"/>
          <w:highlight w:val="none"/>
          <w:lang w:val="en-US" w:eastAsia="zh-CN" w:bidi="ar-SA"/>
        </w:rPr>
        <w:t>4</w:t>
      </w:r>
      <w:r>
        <w:rPr>
          <w:rFonts w:hint="eastAsia" w:ascii="宋体" w:hAnsi="宋体" w:eastAsia="宋体" w:cs="宋体"/>
          <w:b/>
          <w:color w:val="auto"/>
          <w:kern w:val="0"/>
          <w:sz w:val="24"/>
          <w:szCs w:val="24"/>
          <w:highlight w:val="none"/>
        </w:rPr>
        <w:t>分</w:t>
      </w:r>
    </w:p>
    <w:p w14:paraId="3BECDCAC">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b w:val="0"/>
          <w:bCs w:val="0"/>
          <w:color w:val="auto"/>
          <w:sz w:val="24"/>
          <w:szCs w:val="24"/>
          <w:highlight w:val="none"/>
          <w:lang w:val="en-NZ"/>
        </w:rPr>
      </w:pPr>
      <w:r>
        <w:rPr>
          <w:rFonts w:hint="eastAsia" w:ascii="宋体" w:hAnsi="宋体" w:eastAsia="宋体" w:cs="宋体"/>
          <w:b w:val="0"/>
          <w:bCs w:val="0"/>
          <w:color w:val="auto"/>
          <w:sz w:val="24"/>
          <w:szCs w:val="24"/>
          <w:highlight w:val="none"/>
          <w:lang w:val="en-NZ"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NZ" w:eastAsia="zh-CN"/>
        </w:rPr>
        <w:t>）认证分：</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NZ"/>
        </w:rPr>
        <w:t>或</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NZ"/>
        </w:rPr>
        <w:t>所</w:t>
      </w:r>
      <w:r>
        <w:rPr>
          <w:rFonts w:hint="eastAsia" w:ascii="宋体" w:hAnsi="宋体" w:cs="宋体"/>
          <w:b w:val="0"/>
          <w:bCs w:val="0"/>
          <w:color w:val="auto"/>
          <w:sz w:val="24"/>
          <w:szCs w:val="24"/>
          <w:highlight w:val="none"/>
          <w:lang w:val="en-US" w:eastAsia="zh-CN"/>
        </w:rPr>
        <w:t>报产品</w:t>
      </w:r>
      <w:r>
        <w:rPr>
          <w:rFonts w:hint="eastAsia" w:ascii="宋体" w:hAnsi="宋体" w:eastAsia="宋体" w:cs="宋体"/>
          <w:b w:val="0"/>
          <w:bCs w:val="0"/>
          <w:color w:val="auto"/>
          <w:sz w:val="24"/>
          <w:szCs w:val="24"/>
          <w:highlight w:val="none"/>
          <w:lang w:val="en-NZ"/>
        </w:rPr>
        <w:t>生产厂家通过ISO9001质量管理体系认证且有效的（</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NZ"/>
        </w:rPr>
        <w:t>于</w:t>
      </w:r>
      <w:r>
        <w:rPr>
          <w:rFonts w:hint="eastAsia" w:ascii="宋体" w:hAnsi="宋体" w:cs="宋体"/>
          <w:b w:val="0"/>
          <w:bCs w:val="0"/>
          <w:color w:val="auto"/>
          <w:sz w:val="24"/>
          <w:szCs w:val="24"/>
          <w:highlight w:val="none"/>
          <w:lang w:val="en-NZ" w:eastAsia="zh-CN"/>
        </w:rPr>
        <w:t>报价文件</w:t>
      </w:r>
      <w:r>
        <w:rPr>
          <w:rFonts w:hint="eastAsia" w:ascii="宋体" w:hAnsi="宋体" w:eastAsia="宋体" w:cs="宋体"/>
          <w:b w:val="0"/>
          <w:bCs w:val="0"/>
          <w:color w:val="auto"/>
          <w:sz w:val="24"/>
          <w:szCs w:val="24"/>
          <w:highlight w:val="none"/>
          <w:lang w:val="en-NZ"/>
        </w:rPr>
        <w:t>中提供相应有效认证证书复印件，并加盖</w:t>
      </w:r>
      <w:r>
        <w:rPr>
          <w:rFonts w:hint="eastAsia" w:ascii="宋体" w:hAnsi="宋体" w:cs="宋体"/>
          <w:b w:val="0"/>
          <w:bCs w:val="0"/>
          <w:color w:val="auto"/>
          <w:sz w:val="24"/>
          <w:szCs w:val="24"/>
          <w:highlight w:val="none"/>
          <w:lang w:val="en-NZ" w:eastAsia="zh-CN"/>
        </w:rPr>
        <w:t>报价人</w:t>
      </w:r>
      <w:r>
        <w:rPr>
          <w:rFonts w:hint="eastAsia" w:ascii="宋体" w:hAnsi="宋体" w:eastAsia="宋体" w:cs="宋体"/>
          <w:b w:val="0"/>
          <w:bCs w:val="0"/>
          <w:color w:val="auto"/>
          <w:sz w:val="24"/>
          <w:szCs w:val="24"/>
          <w:highlight w:val="none"/>
          <w:lang w:val="en-NZ"/>
        </w:rPr>
        <w:t>电子签章），得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NZ"/>
        </w:rPr>
        <w:t>分。</w:t>
      </w:r>
    </w:p>
    <w:p w14:paraId="4E5AF6B9">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NZ"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NZ" w:eastAsia="zh-CN"/>
        </w:rPr>
        <w:t>）业绩分：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所</w:t>
      </w:r>
      <w:r>
        <w:rPr>
          <w:rFonts w:hint="eastAsia" w:ascii="宋体" w:hAnsi="宋体" w:cs="宋体"/>
          <w:color w:val="auto"/>
          <w:sz w:val="24"/>
          <w:szCs w:val="24"/>
          <w:highlight w:val="none"/>
          <w:lang w:val="en-US" w:eastAsia="zh-CN"/>
        </w:rPr>
        <w:t>报</w:t>
      </w:r>
      <w:r>
        <w:rPr>
          <w:rFonts w:hint="eastAsia" w:ascii="宋体" w:hAnsi="宋体" w:eastAsia="宋体" w:cs="宋体"/>
          <w:color w:val="auto"/>
          <w:sz w:val="24"/>
          <w:szCs w:val="24"/>
          <w:highlight w:val="none"/>
          <w:lang w:val="en-NZ"/>
        </w:rPr>
        <w:t>产品生产厂家</w:t>
      </w:r>
      <w:r>
        <w:rPr>
          <w:rFonts w:hint="eastAsia" w:ascii="宋体" w:hAnsi="宋体" w:eastAsia="宋体" w:cs="宋体"/>
          <w:color w:val="auto"/>
          <w:sz w:val="24"/>
          <w:szCs w:val="24"/>
          <w:highlight w:val="none"/>
          <w:lang w:val="zh-CN"/>
        </w:rPr>
        <w:t>自</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zh-CN"/>
        </w:rPr>
        <w:t>年以来具有</w:t>
      </w:r>
      <w:r>
        <w:rPr>
          <w:rFonts w:hint="eastAsia" w:ascii="宋体" w:hAnsi="宋体" w:eastAsia="宋体" w:cs="宋体"/>
          <w:color w:val="auto"/>
          <w:sz w:val="24"/>
          <w:szCs w:val="24"/>
          <w:highlight w:val="none"/>
          <w:lang w:val="en-US" w:eastAsia="zh-CN"/>
        </w:rPr>
        <w:t>同类产品的</w:t>
      </w:r>
      <w:r>
        <w:rPr>
          <w:rFonts w:hint="eastAsia" w:ascii="宋体" w:hAnsi="宋体" w:eastAsia="宋体" w:cs="宋体"/>
          <w:color w:val="auto"/>
          <w:sz w:val="24"/>
          <w:szCs w:val="24"/>
          <w:highlight w:val="none"/>
          <w:lang w:val="zh-CN"/>
        </w:rPr>
        <w:t>销售业绩【以</w:t>
      </w:r>
      <w:r>
        <w:rPr>
          <w:rFonts w:hint="eastAsia" w:ascii="宋体" w:hAnsi="宋体" w:eastAsia="宋体" w:cs="宋体"/>
          <w:color w:val="auto"/>
          <w:sz w:val="24"/>
          <w:szCs w:val="24"/>
          <w:highlight w:val="none"/>
          <w:lang w:val="en-US" w:eastAsia="zh-CN"/>
        </w:rPr>
        <w:t>签订的</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lang w:val="en-US" w:eastAsia="zh-CN"/>
        </w:rPr>
        <w:t>或中标/成交通知书</w:t>
      </w:r>
      <w:r>
        <w:rPr>
          <w:rFonts w:hint="eastAsia" w:ascii="宋体" w:hAnsi="宋体" w:eastAsia="宋体" w:cs="宋体"/>
          <w:color w:val="auto"/>
          <w:sz w:val="24"/>
          <w:szCs w:val="24"/>
          <w:highlight w:val="none"/>
          <w:lang w:val="zh-CN"/>
        </w:rPr>
        <w:t>复印件为准（能清晰反映中标/成交内容或合同标的，否则将不予评审。同一个编号的项目有两个或两个以上的分标中标/成交的只算一次）】，每提供1项业绩的得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1B8766F4">
      <w:pPr>
        <w:keepNext w:val="0"/>
        <w:keepLines w:val="0"/>
        <w:pageBreakBefore w:val="0"/>
        <w:widowControl w:val="0"/>
        <w:kinsoku/>
        <w:wordWrap/>
        <w:overflowPunct/>
        <w:topLinePunct w:val="0"/>
        <w:autoSpaceDE/>
        <w:autoSpaceDN/>
        <w:bidi w:val="0"/>
        <w:adjustRightInd/>
        <w:snapToGrid/>
        <w:spacing w:line="370" w:lineRule="exact"/>
        <w:ind w:firstLine="482" w:firstLineChars="200"/>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.综合得分＝1+2+3+4</w:t>
      </w:r>
    </w:p>
    <w:p w14:paraId="3BE441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24E086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1230A5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 xml:space="preserve">第四章  </w:t>
      </w:r>
      <w:r>
        <w:rPr>
          <w:rFonts w:hint="eastAsia" w:ascii="宋体" w:hAnsi="宋体" w:cs="宋体"/>
          <w:b/>
          <w:color w:val="auto"/>
          <w:sz w:val="30"/>
          <w:szCs w:val="30"/>
          <w:lang w:val="en-US" w:eastAsia="zh-CN"/>
        </w:rPr>
        <w:t>报价文件</w:t>
      </w:r>
      <w:r>
        <w:rPr>
          <w:rFonts w:hint="eastAsia" w:ascii="宋体" w:hAnsi="宋体" w:eastAsia="宋体" w:cs="宋体"/>
          <w:b/>
          <w:color w:val="auto"/>
          <w:sz w:val="30"/>
          <w:szCs w:val="30"/>
          <w:lang w:val="en-US" w:eastAsia="zh-CN"/>
        </w:rPr>
        <w:t>格式</w:t>
      </w:r>
    </w:p>
    <w:p w14:paraId="161DF7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响 应 函 （格式）</w:t>
      </w:r>
    </w:p>
    <w:p w14:paraId="414B63B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：桂林市人民医院   </w:t>
      </w:r>
    </w:p>
    <w:p w14:paraId="7B33B45A">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根据贵方项目，项目</w:t>
      </w: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编号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，签字代表（姓名）经正式授权并代表供应商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供应商单位名称），提交</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文件正本一份，副本</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份。</w:t>
      </w:r>
    </w:p>
    <w:p w14:paraId="624E0CBB">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1E2A8CA0">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一、报价（单位：人民币元）</w:t>
      </w:r>
    </w:p>
    <w:tbl>
      <w:tblPr>
        <w:tblStyle w:val="20"/>
        <w:tblW w:w="9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7"/>
        <w:gridCol w:w="1627"/>
        <w:gridCol w:w="1083"/>
        <w:gridCol w:w="1222"/>
        <w:gridCol w:w="815"/>
        <w:gridCol w:w="716"/>
        <w:gridCol w:w="815"/>
        <w:gridCol w:w="1749"/>
      </w:tblGrid>
      <w:tr w14:paraId="24950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14:paraId="536370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货物名称</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2EE1E5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生产厂家</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B22F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品牌、规格、型号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C3B8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技术参数、性能、配置</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50B7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①数量</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4EB70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815" w:type="dxa"/>
            <w:tcBorders>
              <w:top w:val="single" w:color="auto" w:sz="4" w:space="0"/>
              <w:left w:val="single" w:color="auto" w:sz="4" w:space="0"/>
              <w:bottom w:val="single" w:color="auto" w:sz="4" w:space="0"/>
              <w:right w:val="nil"/>
            </w:tcBorders>
            <w:noWrap w:val="0"/>
            <w:vAlign w:val="center"/>
          </w:tcPr>
          <w:p w14:paraId="648389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②单价</w:t>
            </w: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01756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③单项合计=①数量×②单价</w:t>
            </w:r>
          </w:p>
        </w:tc>
      </w:tr>
      <w:tr w14:paraId="695F4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14:paraId="1BF22F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D731E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53CBD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C555F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220961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45F8DA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815" w:type="dxa"/>
            <w:tcBorders>
              <w:top w:val="single" w:color="auto" w:sz="4" w:space="0"/>
              <w:left w:val="single" w:color="auto" w:sz="4" w:space="0"/>
              <w:bottom w:val="single" w:color="auto" w:sz="4" w:space="0"/>
              <w:right w:val="nil"/>
            </w:tcBorders>
            <w:noWrap w:val="0"/>
            <w:vAlign w:val="center"/>
          </w:tcPr>
          <w:p w14:paraId="0C5F93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17AEDB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r>
      <w:tr w14:paraId="7D8F1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trPr>
        <w:tc>
          <w:tcPr>
            <w:tcW w:w="6950" w:type="dxa"/>
            <w:gridSpan w:val="6"/>
            <w:tcBorders>
              <w:top w:val="single" w:color="auto" w:sz="4" w:space="0"/>
              <w:left w:val="single" w:color="auto" w:sz="4" w:space="0"/>
              <w:bottom w:val="single" w:color="auto" w:sz="4" w:space="0"/>
              <w:right w:val="single" w:color="auto" w:sz="4" w:space="0"/>
            </w:tcBorders>
            <w:noWrap w:val="0"/>
            <w:vAlign w:val="top"/>
          </w:tcPr>
          <w:p w14:paraId="1ECCEF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合计金额</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14:paraId="4E5FC99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sz w:val="24"/>
                <w:szCs w:val="24"/>
              </w:rPr>
            </w:pPr>
          </w:p>
        </w:tc>
      </w:tr>
    </w:tbl>
    <w:p w14:paraId="17D3CFEF">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合同的总金额（含税）为：（大写）</w:t>
      </w:r>
      <w:r>
        <w:rPr>
          <w:rFonts w:hint="eastAsia" w:ascii="宋体" w:hAnsi="宋体" w:eastAsia="宋体" w:cs="宋体"/>
          <w:sz w:val="24"/>
          <w:szCs w:val="24"/>
          <w:u w:val="single"/>
        </w:rPr>
        <w:t xml:space="preserve">     </w:t>
      </w: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05FABFA">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2.各供应商必须就“采购需求”中的所有内容作完整唯一报价，否则，</w:t>
      </w:r>
      <w:r>
        <w:rPr>
          <w:rFonts w:hint="eastAsia" w:ascii="宋体" w:hAnsi="宋体" w:eastAsia="宋体" w:cs="宋体"/>
          <w:color w:val="auto"/>
          <w:sz w:val="24"/>
          <w:szCs w:val="24"/>
          <w:highlight w:val="none"/>
          <w:lang w:val="en-US" w:eastAsia="zh-CN"/>
        </w:rPr>
        <w:t>其</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文件</w:t>
      </w:r>
      <w:r>
        <w:rPr>
          <w:rFonts w:hint="eastAsia" w:ascii="宋体" w:hAnsi="宋体" w:cs="宋体"/>
          <w:color w:val="auto"/>
          <w:sz w:val="24"/>
          <w:szCs w:val="24"/>
          <w:highlight w:val="none"/>
          <w:lang w:val="en-US" w:eastAsia="zh-CN"/>
        </w:rPr>
        <w:t>按</w:t>
      </w:r>
      <w:r>
        <w:rPr>
          <w:rFonts w:hint="eastAsia" w:ascii="宋体" w:hAnsi="宋体" w:eastAsia="宋体" w:cs="宋体"/>
          <w:color w:val="auto"/>
          <w:sz w:val="24"/>
          <w:szCs w:val="24"/>
          <w:highlight w:val="none"/>
          <w:lang w:val="en-US" w:eastAsia="zh-CN"/>
        </w:rPr>
        <w:t>无效</w:t>
      </w:r>
      <w:r>
        <w:rPr>
          <w:rFonts w:hint="eastAsia" w:ascii="宋体" w:hAnsi="宋体" w:cs="宋体"/>
          <w:color w:val="auto"/>
          <w:sz w:val="24"/>
          <w:szCs w:val="24"/>
          <w:highlight w:val="none"/>
          <w:lang w:val="en-US" w:eastAsia="zh-CN"/>
        </w:rPr>
        <w:t>处理</w:t>
      </w:r>
      <w:r>
        <w:rPr>
          <w:rFonts w:hint="eastAsia" w:ascii="宋体" w:hAnsi="宋体" w:eastAsia="宋体" w:cs="宋体"/>
          <w:color w:val="auto"/>
          <w:sz w:val="24"/>
          <w:szCs w:val="24"/>
          <w:highlight w:val="none"/>
          <w:lang w:val="en-US" w:eastAsia="zh-CN"/>
        </w:rPr>
        <w:t>。</w:t>
      </w:r>
    </w:p>
    <w:p w14:paraId="716B958D">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3.供应商应根据所提供的服务如实填写报价表的各项内容。</w:t>
      </w:r>
    </w:p>
    <w:p w14:paraId="602ACD37">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4.报价表须由法定代表人、负责人或相应的委托代理人签字或盖章并加盖供应商公章。当本表由多页构成时，需逐页加盖供应商公章。</w:t>
      </w:r>
    </w:p>
    <w:p w14:paraId="5A0AC672">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我方承诺已具备此次</w:t>
      </w:r>
      <w:r>
        <w:rPr>
          <w:rFonts w:hint="eastAsia" w:ascii="宋体" w:hAnsi="宋体" w:eastAsia="宋体" w:cs="宋体"/>
          <w:color w:val="auto"/>
          <w:sz w:val="24"/>
          <w:szCs w:val="24"/>
          <w:highlight w:val="none"/>
        </w:rPr>
        <w:t>议价供应商资格条件。</w:t>
      </w:r>
    </w:p>
    <w:p w14:paraId="6B412656">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我方已详细了解本项目，将自行承担因对本项目理解不正确或误解而产生的相应后果。</w:t>
      </w:r>
    </w:p>
    <w:p w14:paraId="605EBF8A">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与本项目有关的正式通讯地址为：</w:t>
      </w:r>
    </w:p>
    <w:p w14:paraId="42099DF1">
      <w:pPr>
        <w:pStyle w:val="12"/>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3586F592">
      <w:pPr>
        <w:pStyle w:val="12"/>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邮箱：</w:t>
      </w:r>
    </w:p>
    <w:p w14:paraId="275C79FA">
      <w:pPr>
        <w:pStyle w:val="12"/>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办公电话：           传真：</w:t>
      </w:r>
    </w:p>
    <w:p w14:paraId="71AB6066">
      <w:pPr>
        <w:pStyle w:val="12"/>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委托代理人联系电话：</w:t>
      </w:r>
    </w:p>
    <w:p w14:paraId="6D1732A2">
      <w:pPr>
        <w:pStyle w:val="12"/>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3872E85C">
      <w:pPr>
        <w:pStyle w:val="12"/>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法定代表人（负责人）或相应的委托代理人签字：</w:t>
      </w:r>
    </w:p>
    <w:p w14:paraId="36583B56">
      <w:pPr>
        <w:pStyle w:val="12"/>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41F4F4D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5194FE0">
      <w:pPr>
        <w:pStyle w:val="12"/>
        <w:keepNext w:val="0"/>
        <w:keepLines w:val="0"/>
        <w:pageBreakBefore w:val="0"/>
        <w:kinsoku/>
        <w:overflowPunct/>
        <w:topLinePunct w:val="0"/>
        <w:autoSpaceDE/>
        <w:autoSpaceDN/>
        <w:bidi w:val="0"/>
        <w:adjustRightInd/>
        <w:spacing w:line="440" w:lineRule="exact"/>
        <w:ind w:firstLine="590" w:firstLineChars="196"/>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法人授权委托书（格式）</w:t>
      </w:r>
    </w:p>
    <w:p w14:paraId="6071C1C3">
      <w:pPr>
        <w:keepNext w:val="0"/>
        <w:keepLines w:val="0"/>
        <w:pageBreakBefore w:val="0"/>
        <w:kinsoku/>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highlight w:val="none"/>
        </w:rPr>
      </w:pPr>
    </w:p>
    <w:p w14:paraId="3DDE050B">
      <w:pPr>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桂林市人民医院</w:t>
      </w:r>
    </w:p>
    <w:p w14:paraId="24E4BAFC">
      <w:pPr>
        <w:spacing w:line="50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我（姓名）系（供应商名称）的法定代表人（负责人），现授权委托本单位在职职工（姓名）以我方名义参加</w:t>
      </w:r>
      <w:r>
        <w:rPr>
          <w:rFonts w:hint="eastAsia" w:ascii="宋体" w:hAnsi="宋体" w:eastAsia="宋体" w:cs="宋体"/>
          <w:color w:val="auto"/>
          <w:sz w:val="24"/>
          <w:szCs w:val="24"/>
          <w:highlight w:val="none"/>
          <w:u w:val="single"/>
        </w:rPr>
        <w:t xml:space="preserve">      （项目名称及项目编号）        </w:t>
      </w:r>
      <w:r>
        <w:rPr>
          <w:rFonts w:hint="eastAsia" w:ascii="宋体" w:hAnsi="宋体" w:eastAsia="宋体" w:cs="宋体"/>
          <w:color w:val="auto"/>
          <w:sz w:val="24"/>
          <w:szCs w:val="24"/>
          <w:highlight w:val="none"/>
        </w:rPr>
        <w:t>项目的议价采购活</w:t>
      </w:r>
      <w:r>
        <w:rPr>
          <w:rFonts w:hint="eastAsia" w:ascii="宋体" w:hAnsi="宋体" w:eastAsia="宋体" w:cs="宋体"/>
          <w:color w:val="auto"/>
          <w:sz w:val="24"/>
          <w:szCs w:val="24"/>
        </w:rPr>
        <w:t>动，并代表我方全权办理针对上述项目的具体事务和签署相关文件。</w:t>
      </w:r>
    </w:p>
    <w:p w14:paraId="1B3E1040">
      <w:pPr>
        <w:spacing w:line="50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我方对被授权人的签字事项负全部责任。</w:t>
      </w:r>
    </w:p>
    <w:p w14:paraId="644FFBC8">
      <w:pPr>
        <w:spacing w:line="500" w:lineRule="exact"/>
        <w:ind w:firstLine="42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授权委托代理期限：从  年  月  日起至     年  月 日止。</w:t>
      </w:r>
    </w:p>
    <w:p w14:paraId="4EA3F951">
      <w:pPr>
        <w:spacing w:line="440" w:lineRule="exact"/>
        <w:jc w:val="left"/>
        <w:rPr>
          <w:rFonts w:hint="eastAsia" w:ascii="宋体" w:hAnsi="宋体" w:eastAsia="宋体" w:cs="宋体"/>
          <w:color w:val="auto"/>
          <w:sz w:val="24"/>
          <w:szCs w:val="24"/>
          <w:u w:val="single"/>
        </w:rPr>
      </w:pPr>
    </w:p>
    <w:p w14:paraId="6AE0666D">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代理人无转委托权,特此委托。 </w:t>
      </w:r>
    </w:p>
    <w:p w14:paraId="3C3774D4">
      <w:pPr>
        <w:snapToGrid w:val="0"/>
        <w:spacing w:line="440" w:lineRule="exact"/>
        <w:ind w:firstLine="525"/>
        <w:jc w:val="left"/>
        <w:rPr>
          <w:rFonts w:hint="eastAsia" w:ascii="宋体" w:hAnsi="宋体" w:eastAsia="宋体" w:cs="宋体"/>
          <w:color w:val="auto"/>
          <w:sz w:val="24"/>
          <w:szCs w:val="24"/>
        </w:rPr>
      </w:pPr>
    </w:p>
    <w:p w14:paraId="7567E879">
      <w:pPr>
        <w:snapToGrid w:val="0"/>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我已在下面签字，以资证明。</w:t>
      </w:r>
    </w:p>
    <w:p w14:paraId="37E32C08">
      <w:pPr>
        <w:snapToGrid w:val="0"/>
        <w:spacing w:line="440" w:lineRule="exact"/>
        <w:ind w:firstLine="420"/>
        <w:jc w:val="left"/>
        <w:rPr>
          <w:rFonts w:hint="eastAsia" w:ascii="宋体" w:hAnsi="宋体" w:eastAsia="宋体" w:cs="宋体"/>
          <w:color w:val="auto"/>
          <w:sz w:val="24"/>
          <w:szCs w:val="24"/>
        </w:rPr>
      </w:pPr>
    </w:p>
    <w:p w14:paraId="60C4E8F7">
      <w:pPr>
        <w:snapToGrid w:val="0"/>
        <w:spacing w:line="440" w:lineRule="exact"/>
        <w:ind w:firstLine="420"/>
        <w:jc w:val="left"/>
        <w:rPr>
          <w:rFonts w:hint="eastAsia" w:ascii="宋体" w:hAnsi="宋体" w:eastAsia="宋体" w:cs="宋体"/>
          <w:color w:val="auto"/>
          <w:sz w:val="24"/>
          <w:szCs w:val="24"/>
        </w:rPr>
      </w:pPr>
    </w:p>
    <w:p w14:paraId="60FE99FC">
      <w:pPr>
        <w:snapToGrid w:val="0"/>
        <w:spacing w:line="440" w:lineRule="exact"/>
        <w:ind w:firstLine="42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供应商（公章）：</w:t>
      </w:r>
    </w:p>
    <w:p w14:paraId="714BA9BB">
      <w:pPr>
        <w:snapToGrid w:val="0"/>
        <w:spacing w:line="440" w:lineRule="exact"/>
        <w:ind w:firstLine="420"/>
        <w:jc w:val="left"/>
        <w:rPr>
          <w:rFonts w:hint="eastAsia" w:ascii="宋体" w:hAnsi="宋体" w:eastAsia="宋体" w:cs="宋体"/>
          <w:color w:val="auto"/>
          <w:sz w:val="24"/>
          <w:szCs w:val="24"/>
        </w:rPr>
      </w:pPr>
    </w:p>
    <w:p w14:paraId="63FCDD95">
      <w:pPr>
        <w:snapToGrid w:val="0"/>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法定代表人（负责人）签字或盖章：  年  月  日</w:t>
      </w:r>
    </w:p>
    <w:p w14:paraId="6BFA8043">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6CBC01E3">
      <w:pPr>
        <w:spacing w:line="0" w:lineRule="atLeast"/>
        <w:jc w:val="center"/>
        <w:rPr>
          <w:rFonts w:hint="eastAsia" w:ascii="宋体" w:hAnsi="宋体" w:eastAsia="宋体" w:cs="宋体"/>
          <w:b/>
          <w:color w:val="auto"/>
          <w:sz w:val="30"/>
          <w:szCs w:val="30"/>
          <w:highlight w:val="none"/>
        </w:rPr>
      </w:pPr>
      <w:r>
        <w:rPr>
          <w:rFonts w:hint="eastAsia" w:ascii="宋体" w:hAnsi="宋体" w:cs="宋体"/>
          <w:b/>
          <w:sz w:val="30"/>
          <w:szCs w:val="30"/>
          <w:lang w:val="en-US" w:eastAsia="zh-CN"/>
        </w:rPr>
        <w:t>技术</w:t>
      </w:r>
      <w:r>
        <w:rPr>
          <w:rFonts w:hint="eastAsia" w:ascii="宋体" w:hAnsi="宋体" w:eastAsia="宋体" w:cs="宋体"/>
          <w:b/>
          <w:sz w:val="30"/>
          <w:szCs w:val="30"/>
          <w:lang w:val="en-US" w:eastAsia="zh-CN"/>
        </w:rPr>
        <w:t>需求</w:t>
      </w:r>
      <w:r>
        <w:rPr>
          <w:rFonts w:hint="eastAsia" w:ascii="宋体" w:hAnsi="宋体" w:eastAsia="宋体" w:cs="宋体"/>
          <w:b/>
          <w:sz w:val="30"/>
          <w:szCs w:val="30"/>
        </w:rPr>
        <w:t>响应表</w:t>
      </w:r>
    </w:p>
    <w:p w14:paraId="3E0E1206">
      <w:pPr>
        <w:keepNext w:val="0"/>
        <w:keepLines w:val="0"/>
        <w:pageBreakBefore w:val="0"/>
        <w:kinsoku/>
        <w:wordWrap/>
        <w:overflowPunct/>
        <w:topLinePunct w:val="0"/>
        <w:autoSpaceDE/>
        <w:autoSpaceDN/>
        <w:bidi w:val="0"/>
        <w:spacing w:line="420" w:lineRule="exact"/>
        <w:rPr>
          <w:rFonts w:hint="eastAsia" w:ascii="宋体" w:hAnsi="宋体" w:eastAsia="宋体" w:cs="宋体"/>
          <w:color w:val="auto"/>
          <w:sz w:val="24"/>
          <w:szCs w:val="24"/>
          <w:highlight w:val="none"/>
        </w:rPr>
      </w:pPr>
    </w:p>
    <w:p w14:paraId="5FECE3C2">
      <w:pPr>
        <w:keepNext w:val="0"/>
        <w:keepLines w:val="0"/>
        <w:pageBreakBefore w:val="0"/>
        <w:kinsoku/>
        <w:wordWrap/>
        <w:overflowPunct/>
        <w:topLinePunct w:val="0"/>
        <w:autoSpaceDE/>
        <w:autoSpaceDN/>
        <w:bidi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74F0EF7D">
      <w:pPr>
        <w:pStyle w:val="12"/>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CEC7B01">
      <w:pPr>
        <w:pStyle w:val="5"/>
        <w:ind w:left="0" w:leftChars="0" w:firstLine="0" w:firstLineChars="0"/>
        <w:rPr>
          <w:rFonts w:hint="eastAsia" w:ascii="宋体" w:hAnsi="宋体" w:eastAsia="宋体" w:cs="宋体"/>
          <w:sz w:val="24"/>
          <w:szCs w:val="24"/>
        </w:rPr>
      </w:pPr>
    </w:p>
    <w:tbl>
      <w:tblPr>
        <w:tblStyle w:val="20"/>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5149"/>
        <w:gridCol w:w="2891"/>
        <w:gridCol w:w="1005"/>
      </w:tblGrid>
      <w:tr w14:paraId="06A9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60" w:type="dxa"/>
            <w:shd w:val="clear" w:color="auto" w:fill="auto"/>
            <w:vAlign w:val="center"/>
          </w:tcPr>
          <w:p w14:paraId="0B43A84C">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w:t>
            </w:r>
          </w:p>
        </w:tc>
        <w:tc>
          <w:tcPr>
            <w:tcW w:w="5149" w:type="dxa"/>
            <w:shd w:val="clear" w:color="auto" w:fill="auto"/>
            <w:vAlign w:val="center"/>
          </w:tcPr>
          <w:p w14:paraId="7072CAE0">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服务要求内容</w:t>
            </w:r>
          </w:p>
        </w:tc>
        <w:tc>
          <w:tcPr>
            <w:tcW w:w="2891" w:type="dxa"/>
            <w:shd w:val="clear" w:color="auto" w:fill="auto"/>
            <w:vAlign w:val="center"/>
          </w:tcPr>
          <w:p w14:paraId="17C85504">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响应内容</w:t>
            </w:r>
          </w:p>
        </w:tc>
        <w:tc>
          <w:tcPr>
            <w:tcW w:w="1005" w:type="dxa"/>
            <w:shd w:val="clear" w:color="auto" w:fill="auto"/>
            <w:vAlign w:val="center"/>
          </w:tcPr>
          <w:p w14:paraId="55C4B985">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响应情况</w:t>
            </w:r>
          </w:p>
        </w:tc>
      </w:tr>
      <w:tr w14:paraId="6B36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60" w:type="dxa"/>
            <w:vMerge w:val="restart"/>
            <w:shd w:val="clear" w:color="auto" w:fill="auto"/>
            <w:vAlign w:val="center"/>
          </w:tcPr>
          <w:p w14:paraId="6257D0BE">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技术要求</w:t>
            </w:r>
          </w:p>
        </w:tc>
        <w:tc>
          <w:tcPr>
            <w:tcW w:w="5149" w:type="dxa"/>
            <w:shd w:val="clear" w:color="auto" w:fill="auto"/>
            <w:vAlign w:val="center"/>
          </w:tcPr>
          <w:p w14:paraId="55A287C5">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基本要求：</w:t>
            </w:r>
          </w:p>
          <w:p w14:paraId="303256D7">
            <w:pPr>
              <w:pageBreakBefore w:val="0"/>
              <w:numPr>
                <w:ilvl w:val="0"/>
                <w:numId w:val="0"/>
              </w:numPr>
              <w:kinsoku/>
              <w:wordWrap/>
              <w:overflowPunct/>
              <w:topLinePunct w:val="0"/>
              <w:autoSpaceDE/>
              <w:autoSpaceDN/>
              <w:bidi w:val="0"/>
              <w:adjustRightInd/>
              <w:spacing w:line="300" w:lineRule="exact"/>
              <w:ind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★A.车型：</w:t>
            </w:r>
            <w:r>
              <w:rPr>
                <w:rFonts w:hint="eastAsia" w:ascii="宋体" w:hAnsi="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lang w:val="en-US" w:eastAsia="zh-CN"/>
              </w:rPr>
              <w:t>车型必须为原厂客车底盘。</w:t>
            </w:r>
          </w:p>
          <w:p w14:paraId="036B6950">
            <w:pPr>
              <w:pageBreakBefore w:val="0"/>
              <w:numPr>
                <w:ilvl w:val="0"/>
                <w:numId w:val="0"/>
              </w:numPr>
              <w:kinsoku/>
              <w:wordWrap/>
              <w:overflowPunct/>
              <w:topLinePunct w:val="0"/>
              <w:autoSpaceDE/>
              <w:autoSpaceDN/>
              <w:bidi w:val="0"/>
              <w:adjustRightInd/>
              <w:spacing w:line="300" w:lineRule="exact"/>
              <w:ind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B.功能：主要用于运输和抢救病人。</w:t>
            </w:r>
          </w:p>
          <w:p w14:paraId="2FB3D547">
            <w:pPr>
              <w:pageBreakBefore w:val="0"/>
              <w:numPr>
                <w:ilvl w:val="0"/>
                <w:numId w:val="0"/>
              </w:numPr>
              <w:kinsoku/>
              <w:wordWrap/>
              <w:overflowPunct/>
              <w:topLinePunct w:val="0"/>
              <w:autoSpaceDE/>
              <w:autoSpaceDN/>
              <w:bidi w:val="0"/>
              <w:adjustRightInd/>
              <w:spacing w:line="300" w:lineRule="exact"/>
              <w:ind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C.上牌要求：</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所</w:t>
            </w:r>
            <w:r>
              <w:rPr>
                <w:rFonts w:hint="eastAsia" w:ascii="宋体" w:hAnsi="宋体" w:cs="宋体"/>
                <w:b w:val="0"/>
                <w:bCs w:val="0"/>
                <w:color w:val="auto"/>
                <w:sz w:val="21"/>
                <w:szCs w:val="21"/>
                <w:highlight w:val="none"/>
                <w:lang w:val="en-US" w:eastAsia="zh-CN"/>
              </w:rPr>
              <w:t>报</w:t>
            </w:r>
            <w:r>
              <w:rPr>
                <w:rFonts w:hint="eastAsia" w:ascii="宋体" w:hAnsi="宋体" w:eastAsia="宋体" w:cs="宋体"/>
                <w:b w:val="0"/>
                <w:bCs w:val="0"/>
                <w:color w:val="auto"/>
                <w:sz w:val="21"/>
                <w:szCs w:val="21"/>
                <w:highlight w:val="none"/>
                <w:lang w:val="en-US" w:eastAsia="zh-CN"/>
              </w:rPr>
              <w:t>车辆应具备国家发改委目录公告，能在买方所在地的公安交通管理部门办理特种车上牌照手续。</w:t>
            </w:r>
          </w:p>
          <w:p w14:paraId="0CB30DF2">
            <w:pPr>
              <w:pageBreakBefore w:val="0"/>
              <w:numPr>
                <w:ilvl w:val="0"/>
                <w:numId w:val="0"/>
              </w:numPr>
              <w:kinsoku/>
              <w:wordWrap/>
              <w:overflowPunct/>
              <w:topLinePunct w:val="0"/>
              <w:autoSpaceDE/>
              <w:autoSpaceDN/>
              <w:bidi w:val="0"/>
              <w:adjustRightInd/>
              <w:spacing w:line="300" w:lineRule="exact"/>
              <w:ind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D.驾驶证要求：C1驾照即可驾驶。</w:t>
            </w:r>
          </w:p>
          <w:p w14:paraId="129CBA28">
            <w:pPr>
              <w:pageBreakBefore w:val="0"/>
              <w:numPr>
                <w:ilvl w:val="0"/>
                <w:numId w:val="0"/>
              </w:numPr>
              <w:kinsoku/>
              <w:wordWrap/>
              <w:overflowPunct/>
              <w:topLinePunct w:val="0"/>
              <w:autoSpaceDE/>
              <w:autoSpaceDN/>
              <w:bidi w:val="0"/>
              <w:adjustRightInd/>
              <w:spacing w:line="300" w:lineRule="exact"/>
              <w:ind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E.工作条件：车辆应适应全国自然条件，适应户外作业的需求。</w:t>
            </w:r>
          </w:p>
          <w:p w14:paraId="79F17851">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F.舒适配置：多功能方向盘、定速巡航、日间行车灯、倒车后视。</w:t>
            </w:r>
          </w:p>
        </w:tc>
        <w:tc>
          <w:tcPr>
            <w:tcW w:w="2891" w:type="dxa"/>
            <w:shd w:val="clear" w:color="auto" w:fill="auto"/>
            <w:vAlign w:val="center"/>
          </w:tcPr>
          <w:p w14:paraId="094EBE82">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rPr>
            </w:pPr>
          </w:p>
        </w:tc>
        <w:tc>
          <w:tcPr>
            <w:tcW w:w="1005" w:type="dxa"/>
            <w:shd w:val="clear" w:color="auto" w:fill="auto"/>
            <w:vAlign w:val="center"/>
          </w:tcPr>
          <w:p w14:paraId="7DD0F913">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rPr>
            </w:pPr>
          </w:p>
        </w:tc>
      </w:tr>
      <w:tr w14:paraId="4DFB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60" w:type="dxa"/>
            <w:vMerge w:val="continue"/>
            <w:shd w:val="clear" w:color="auto" w:fill="auto"/>
            <w:vAlign w:val="center"/>
          </w:tcPr>
          <w:p w14:paraId="2040EF59">
            <w:pPr>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color w:val="000000"/>
                <w:kern w:val="2"/>
                <w:sz w:val="21"/>
                <w:szCs w:val="21"/>
                <w:lang w:val="en-US" w:eastAsia="zh-CN" w:bidi="ar-SA"/>
              </w:rPr>
            </w:pPr>
          </w:p>
        </w:tc>
        <w:tc>
          <w:tcPr>
            <w:tcW w:w="5149" w:type="dxa"/>
            <w:shd w:val="clear" w:color="auto" w:fill="auto"/>
            <w:vAlign w:val="center"/>
          </w:tcPr>
          <w:p w14:paraId="59484CE6">
            <w:pPr>
              <w:pStyle w:val="28"/>
              <w:keepNext w:val="0"/>
              <w:keepLines w:val="0"/>
              <w:pageBreakBefore w:val="0"/>
              <w:widowControl/>
              <w:numPr>
                <w:ilvl w:val="0"/>
                <w:numId w:val="0"/>
              </w:numPr>
              <w:kinsoku/>
              <w:wordWrap/>
              <w:overflowPunct/>
              <w:topLinePunct w:val="0"/>
              <w:autoSpaceDE/>
              <w:autoSpaceDN/>
              <w:bidi w:val="0"/>
              <w:adjustRightInd/>
              <w:spacing w:line="300"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2.底盘要求：</w:t>
            </w:r>
          </w:p>
          <w:p w14:paraId="770AA1F9">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★A.车辆尺寸：整车长(mm)≥5900；整车宽(mm)≥2000；整车高(mm)≥2500；轴距(mm)≥3700。（</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在</w:t>
            </w:r>
            <w:r>
              <w:rPr>
                <w:rFonts w:hint="eastAsia" w:ascii="宋体" w:hAnsi="宋体" w:cs="宋体"/>
                <w:b w:val="0"/>
                <w:bCs w:val="0"/>
                <w:color w:val="auto"/>
                <w:sz w:val="21"/>
                <w:szCs w:val="21"/>
                <w:highlight w:val="none"/>
                <w:lang w:val="en-US" w:eastAsia="zh-CN"/>
              </w:rPr>
              <w:t>报价文件</w:t>
            </w:r>
            <w:r>
              <w:rPr>
                <w:rFonts w:hint="eastAsia" w:ascii="宋体" w:hAnsi="宋体" w:eastAsia="宋体" w:cs="宋体"/>
                <w:b w:val="0"/>
                <w:bCs w:val="0"/>
                <w:color w:val="auto"/>
                <w:sz w:val="21"/>
                <w:szCs w:val="21"/>
                <w:highlight w:val="none"/>
                <w:lang w:val="en-US" w:eastAsia="zh-CN"/>
              </w:rPr>
              <w:t>中提供相应的中国工信部产品参数公告截图证明并标注）</w:t>
            </w:r>
          </w:p>
          <w:p w14:paraId="5AEAFFDD">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★B.排放标准：国六、排气量≥2200ml、功率≥128kw、总质量≥4100kg、 整备质量≥2900kg。（</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在</w:t>
            </w:r>
            <w:r>
              <w:rPr>
                <w:rFonts w:hint="eastAsia" w:ascii="宋体" w:hAnsi="宋体" w:cs="宋体"/>
                <w:b w:val="0"/>
                <w:bCs w:val="0"/>
                <w:color w:val="auto"/>
                <w:sz w:val="21"/>
                <w:szCs w:val="21"/>
                <w:highlight w:val="none"/>
                <w:lang w:val="en-US" w:eastAsia="zh-CN"/>
              </w:rPr>
              <w:t>报价文件</w:t>
            </w:r>
            <w:r>
              <w:rPr>
                <w:rFonts w:hint="eastAsia" w:ascii="宋体" w:hAnsi="宋体" w:eastAsia="宋体" w:cs="宋体"/>
                <w:b w:val="0"/>
                <w:bCs w:val="0"/>
                <w:color w:val="auto"/>
                <w:sz w:val="21"/>
                <w:szCs w:val="21"/>
                <w:highlight w:val="none"/>
                <w:lang w:val="en-US" w:eastAsia="zh-CN"/>
              </w:rPr>
              <w:t>中提供相应的中国工信部产品参数公告截图证明并标注）</w:t>
            </w:r>
          </w:p>
          <w:p w14:paraId="4B33A230">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C.接近角/离去角≥19/19°。</w:t>
            </w:r>
          </w:p>
          <w:p w14:paraId="2DB3C9F2">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D.乘员数：5-8人。</w:t>
            </w:r>
          </w:p>
          <w:p w14:paraId="5A44E8DC">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E.燃油种类：柴油。</w:t>
            </w:r>
          </w:p>
          <w:p w14:paraId="59A5BDB9">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F.百公里油耗≤12L。</w:t>
            </w:r>
          </w:p>
          <w:p w14:paraId="26F34312">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G.变速器：六档手动变速器，中控台集成式换挡杆。</w:t>
            </w:r>
          </w:p>
          <w:p w14:paraId="3C441157">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H.最高时速≥160Km/h。</w:t>
            </w:r>
          </w:p>
          <w:p w14:paraId="3B23519B">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I.轮胎：235/65R16C。</w:t>
            </w:r>
          </w:p>
          <w:p w14:paraId="05076AD6">
            <w:pPr>
              <w:pStyle w:val="28"/>
              <w:keepNext w:val="0"/>
              <w:keepLines w:val="0"/>
              <w:pageBreakBefore w:val="0"/>
              <w:widowControl/>
              <w:numPr>
                <w:ilvl w:val="0"/>
                <w:numId w:val="0"/>
              </w:numPr>
              <w:kinsoku/>
              <w:wordWrap/>
              <w:overflowPunct/>
              <w:topLinePunct w:val="0"/>
              <w:autoSpaceDE/>
              <w:autoSpaceDN/>
              <w:bidi w:val="0"/>
              <w:adjustRightInd/>
              <w:spacing w:line="300"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J.刹车系统：前通风盘式，后实心盘式，ABS，四轮碟刹。</w:t>
            </w:r>
          </w:p>
        </w:tc>
        <w:tc>
          <w:tcPr>
            <w:tcW w:w="2891" w:type="dxa"/>
            <w:shd w:val="clear" w:color="auto" w:fill="auto"/>
            <w:vAlign w:val="center"/>
          </w:tcPr>
          <w:p w14:paraId="18246BF9">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1005" w:type="dxa"/>
            <w:shd w:val="clear" w:color="auto" w:fill="auto"/>
            <w:vAlign w:val="center"/>
          </w:tcPr>
          <w:p w14:paraId="39C6B8EF">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2830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060" w:type="dxa"/>
            <w:vMerge w:val="continue"/>
            <w:shd w:val="clear" w:color="auto" w:fill="auto"/>
            <w:vAlign w:val="center"/>
          </w:tcPr>
          <w:p w14:paraId="52D9778A">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000000"/>
                <w:sz w:val="21"/>
                <w:szCs w:val="21"/>
              </w:rPr>
            </w:pPr>
          </w:p>
        </w:tc>
        <w:tc>
          <w:tcPr>
            <w:tcW w:w="5149" w:type="dxa"/>
            <w:shd w:val="clear" w:color="auto" w:fill="auto"/>
            <w:vAlign w:val="center"/>
          </w:tcPr>
          <w:p w14:paraId="2C9FAD2F">
            <w:pPr>
              <w:pStyle w:val="28"/>
              <w:keepNext w:val="0"/>
              <w:keepLines w:val="0"/>
              <w:pageBreakBefore w:val="0"/>
              <w:widowControl/>
              <w:numPr>
                <w:ilvl w:val="0"/>
                <w:numId w:val="0"/>
              </w:numPr>
              <w:kinsoku/>
              <w:wordWrap/>
              <w:overflowPunct/>
              <w:topLinePunct w:val="0"/>
              <w:autoSpaceDE/>
              <w:autoSpaceDN/>
              <w:bidi w:val="0"/>
              <w:adjustRightInd/>
              <w:spacing w:line="300" w:lineRule="exact"/>
              <w:ind w:leftChars="0"/>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车辆主要配置</w:t>
            </w:r>
            <w:r>
              <w:rPr>
                <w:rFonts w:hint="eastAsia" w:ascii="宋体" w:hAnsi="宋体" w:eastAsia="宋体" w:cs="宋体"/>
                <w:b/>
                <w:bCs/>
                <w:sz w:val="21"/>
                <w:szCs w:val="21"/>
                <w:lang w:eastAsia="zh-CN"/>
              </w:rPr>
              <w:t>：</w:t>
            </w:r>
          </w:p>
          <w:p w14:paraId="19C8DDAD">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防抱死制动系统(ABS)</w:t>
            </w:r>
            <w:r>
              <w:rPr>
                <w:rFonts w:hint="eastAsia" w:ascii="宋体" w:hAnsi="宋体" w:eastAsia="宋体" w:cs="宋体"/>
                <w:sz w:val="21"/>
                <w:szCs w:val="21"/>
                <w:lang w:eastAsia="zh-CN"/>
              </w:rPr>
              <w:t>。</w:t>
            </w:r>
          </w:p>
          <w:p w14:paraId="50306F6B">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制动力分配系统(EBD)</w:t>
            </w:r>
            <w:r>
              <w:rPr>
                <w:rFonts w:hint="eastAsia" w:ascii="宋体" w:hAnsi="宋体" w:eastAsia="宋体" w:cs="宋体"/>
                <w:sz w:val="21"/>
                <w:szCs w:val="21"/>
                <w:lang w:eastAsia="zh-CN"/>
              </w:rPr>
              <w:t>。</w:t>
            </w:r>
          </w:p>
          <w:p w14:paraId="19808D3A">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车辆维护警告系统</w:t>
            </w:r>
            <w:r>
              <w:rPr>
                <w:rFonts w:hint="eastAsia" w:ascii="宋体" w:hAnsi="宋体" w:eastAsia="宋体" w:cs="宋体"/>
                <w:sz w:val="21"/>
                <w:szCs w:val="21"/>
                <w:lang w:eastAsia="zh-CN"/>
              </w:rPr>
              <w:t>。</w:t>
            </w:r>
          </w:p>
          <w:p w14:paraId="72713D7A">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rPr>
              <w:t>中控门锁</w:t>
            </w:r>
            <w:r>
              <w:rPr>
                <w:rFonts w:hint="eastAsia" w:ascii="宋体" w:hAnsi="宋体" w:eastAsia="宋体" w:cs="宋体"/>
                <w:sz w:val="21"/>
                <w:szCs w:val="21"/>
                <w:lang w:eastAsia="zh-CN"/>
              </w:rPr>
              <w:t>。</w:t>
            </w:r>
          </w:p>
          <w:p w14:paraId="72F422FE">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rPr>
              <w:t>驾驶室3座椅</w:t>
            </w:r>
            <w:r>
              <w:rPr>
                <w:rFonts w:hint="eastAsia" w:ascii="宋体" w:hAnsi="宋体" w:eastAsia="宋体" w:cs="宋体"/>
                <w:sz w:val="21"/>
                <w:szCs w:val="21"/>
                <w:lang w:eastAsia="zh-CN"/>
              </w:rPr>
              <w:t>。</w:t>
            </w:r>
          </w:p>
          <w:p w14:paraId="1515089F">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F.</w:t>
            </w:r>
            <w:r>
              <w:rPr>
                <w:rFonts w:hint="eastAsia" w:ascii="宋体" w:hAnsi="宋体" w:eastAsia="宋体" w:cs="宋体"/>
                <w:sz w:val="21"/>
                <w:szCs w:val="21"/>
              </w:rPr>
              <w:t>驾驶员安全气囊</w:t>
            </w:r>
            <w:r>
              <w:rPr>
                <w:rFonts w:hint="eastAsia" w:ascii="宋体" w:hAnsi="宋体" w:eastAsia="宋体" w:cs="宋体"/>
                <w:sz w:val="21"/>
                <w:szCs w:val="21"/>
                <w:lang w:eastAsia="zh-CN"/>
              </w:rPr>
              <w:t>。</w:t>
            </w:r>
          </w:p>
          <w:p w14:paraId="0D862F7D">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G.</w:t>
            </w:r>
            <w:r>
              <w:rPr>
                <w:rFonts w:hint="eastAsia" w:ascii="宋体" w:hAnsi="宋体" w:eastAsia="宋体" w:cs="宋体"/>
                <w:sz w:val="21"/>
                <w:szCs w:val="21"/>
              </w:rPr>
              <w:t>多媒体收音机</w:t>
            </w:r>
            <w:r>
              <w:rPr>
                <w:rFonts w:hint="eastAsia" w:ascii="宋体" w:hAnsi="宋体" w:eastAsia="宋体" w:cs="宋体"/>
                <w:sz w:val="21"/>
                <w:szCs w:val="21"/>
                <w:lang w:eastAsia="zh-CN"/>
              </w:rPr>
              <w:t>。</w:t>
            </w:r>
          </w:p>
          <w:p w14:paraId="1379D748">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H.</w:t>
            </w:r>
            <w:r>
              <w:rPr>
                <w:rFonts w:hint="eastAsia" w:ascii="宋体" w:hAnsi="宋体" w:eastAsia="宋体" w:cs="宋体"/>
                <w:sz w:val="21"/>
                <w:szCs w:val="21"/>
              </w:rPr>
              <w:t>驾驶室电动车窗</w:t>
            </w:r>
            <w:r>
              <w:rPr>
                <w:rFonts w:hint="eastAsia" w:ascii="宋体" w:hAnsi="宋体" w:eastAsia="宋体" w:cs="宋体"/>
                <w:sz w:val="21"/>
                <w:szCs w:val="21"/>
                <w:lang w:eastAsia="zh-CN"/>
              </w:rPr>
              <w:t>。</w:t>
            </w:r>
          </w:p>
          <w:p w14:paraId="07E449E0">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I.</w:t>
            </w:r>
            <w:r>
              <w:rPr>
                <w:rFonts w:hint="eastAsia" w:ascii="宋体" w:hAnsi="宋体" w:eastAsia="宋体" w:cs="宋体"/>
                <w:sz w:val="21"/>
                <w:szCs w:val="21"/>
              </w:rPr>
              <w:t>后双开门</w:t>
            </w:r>
            <w:r>
              <w:rPr>
                <w:rFonts w:hint="eastAsia" w:ascii="宋体" w:hAnsi="宋体" w:eastAsia="宋体" w:cs="宋体"/>
                <w:sz w:val="21"/>
                <w:szCs w:val="21"/>
                <w:lang w:eastAsia="zh-CN"/>
              </w:rPr>
              <w:t>。</w:t>
            </w:r>
          </w:p>
          <w:p w14:paraId="58E14244">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J.</w:t>
            </w:r>
            <w:r>
              <w:rPr>
                <w:rFonts w:hint="eastAsia" w:ascii="宋体" w:hAnsi="宋体" w:eastAsia="宋体" w:cs="宋体"/>
                <w:sz w:val="21"/>
                <w:szCs w:val="21"/>
              </w:rPr>
              <w:t>后上车踏板</w:t>
            </w:r>
            <w:r>
              <w:rPr>
                <w:rFonts w:hint="eastAsia" w:ascii="宋体" w:hAnsi="宋体" w:eastAsia="宋体" w:cs="宋体"/>
                <w:sz w:val="21"/>
                <w:szCs w:val="21"/>
                <w:lang w:eastAsia="zh-CN"/>
              </w:rPr>
              <w:t>。</w:t>
            </w:r>
          </w:p>
          <w:p w14:paraId="085ACE5D">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K.</w:t>
            </w:r>
            <w:r>
              <w:rPr>
                <w:rFonts w:hint="eastAsia" w:ascii="宋体" w:hAnsi="宋体" w:eastAsia="宋体" w:cs="宋体"/>
                <w:sz w:val="21"/>
                <w:szCs w:val="21"/>
              </w:rPr>
              <w:t>同色保险杆</w:t>
            </w:r>
            <w:r>
              <w:rPr>
                <w:rFonts w:hint="eastAsia" w:ascii="宋体" w:hAnsi="宋体" w:eastAsia="宋体" w:cs="宋体"/>
                <w:sz w:val="21"/>
                <w:szCs w:val="21"/>
                <w:lang w:eastAsia="zh-CN"/>
              </w:rPr>
              <w:t>。</w:t>
            </w:r>
          </w:p>
          <w:p w14:paraId="25ADA28F">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L.</w:t>
            </w:r>
            <w:r>
              <w:rPr>
                <w:rFonts w:hint="eastAsia" w:ascii="宋体" w:hAnsi="宋体" w:eastAsia="宋体" w:cs="宋体"/>
                <w:sz w:val="21"/>
                <w:szCs w:val="21"/>
              </w:rPr>
              <w:t>第二把摇控钥匙</w:t>
            </w:r>
            <w:r>
              <w:rPr>
                <w:rFonts w:hint="eastAsia" w:ascii="宋体" w:hAnsi="宋体" w:eastAsia="宋体" w:cs="宋体"/>
                <w:sz w:val="21"/>
                <w:szCs w:val="21"/>
                <w:lang w:eastAsia="zh-CN"/>
              </w:rPr>
              <w:t>。</w:t>
            </w:r>
          </w:p>
          <w:p w14:paraId="117B8145">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M.</w:t>
            </w:r>
            <w:r>
              <w:rPr>
                <w:rFonts w:hint="eastAsia" w:ascii="宋体" w:hAnsi="宋体" w:eastAsia="宋体" w:cs="宋体"/>
                <w:sz w:val="21"/>
                <w:szCs w:val="21"/>
              </w:rPr>
              <w:t>后门装透明玻璃,窗户上2/3贴乳白色不透明防爆膜</w:t>
            </w:r>
            <w:r>
              <w:rPr>
                <w:rFonts w:hint="eastAsia" w:ascii="宋体" w:hAnsi="宋体" w:eastAsia="宋体" w:cs="宋体"/>
                <w:sz w:val="21"/>
                <w:szCs w:val="21"/>
                <w:lang w:eastAsia="zh-CN"/>
              </w:rPr>
              <w:t>。</w:t>
            </w:r>
          </w:p>
          <w:p w14:paraId="5319B632">
            <w:pPr>
              <w:pStyle w:val="28"/>
              <w:keepNext w:val="0"/>
              <w:keepLines w:val="0"/>
              <w:pageBreakBefore w:val="0"/>
              <w:widowControl/>
              <w:numPr>
                <w:ilvl w:val="0"/>
                <w:numId w:val="0"/>
              </w:numPr>
              <w:kinsoku/>
              <w:wordWrap/>
              <w:overflowPunct/>
              <w:topLinePunct w:val="0"/>
              <w:autoSpaceDE/>
              <w:autoSpaceDN/>
              <w:bidi w:val="0"/>
              <w:adjustRightInd/>
              <w:spacing w:line="300" w:lineRule="exact"/>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N.驾驶室中控台配备≥12英寸的原厂液晶显示屏。</w:t>
            </w:r>
          </w:p>
        </w:tc>
        <w:tc>
          <w:tcPr>
            <w:tcW w:w="2891" w:type="dxa"/>
            <w:shd w:val="clear" w:color="auto" w:fill="auto"/>
            <w:vAlign w:val="center"/>
          </w:tcPr>
          <w:p w14:paraId="27F5E54E">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z w:val="21"/>
                <w:szCs w:val="21"/>
              </w:rPr>
            </w:pPr>
          </w:p>
        </w:tc>
        <w:tc>
          <w:tcPr>
            <w:tcW w:w="1005" w:type="dxa"/>
            <w:shd w:val="clear" w:color="auto" w:fill="auto"/>
            <w:vAlign w:val="center"/>
          </w:tcPr>
          <w:p w14:paraId="7421A596">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z w:val="21"/>
                <w:szCs w:val="21"/>
              </w:rPr>
            </w:pPr>
          </w:p>
        </w:tc>
      </w:tr>
      <w:tr w14:paraId="13D4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60" w:type="dxa"/>
            <w:vMerge w:val="continue"/>
            <w:shd w:val="clear" w:color="auto" w:fill="auto"/>
            <w:vAlign w:val="center"/>
          </w:tcPr>
          <w:p w14:paraId="42A241FC">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rPr>
            </w:pPr>
          </w:p>
        </w:tc>
        <w:tc>
          <w:tcPr>
            <w:tcW w:w="5149" w:type="dxa"/>
            <w:shd w:val="clear" w:color="auto" w:fill="auto"/>
            <w:vAlign w:val="center"/>
          </w:tcPr>
          <w:p w14:paraId="2E624B35">
            <w:pPr>
              <w:pStyle w:val="28"/>
              <w:keepNext w:val="0"/>
              <w:keepLines w:val="0"/>
              <w:pageBreakBefore w:val="0"/>
              <w:widowControl/>
              <w:numPr>
                <w:ilvl w:val="0"/>
                <w:numId w:val="0"/>
              </w:numPr>
              <w:kinsoku/>
              <w:wordWrap/>
              <w:overflowPunct/>
              <w:topLinePunct w:val="0"/>
              <w:autoSpaceDE/>
              <w:autoSpaceDN/>
              <w:bidi w:val="0"/>
              <w:adjustRightInd/>
              <w:spacing w:line="300" w:lineRule="exact"/>
              <w:ind w:left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4.内饰装配系统：</w:t>
            </w:r>
          </w:p>
          <w:p w14:paraId="4E972496">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医疗舱内饰：内饰车顶采用高强度、扛冲击性强、耐老化、方便清洗和消毒的高分子材料，防火标准：B1级标准；顶部内饰采用≥0.6密度的PVC材料无并接；阻燃性能符合GB8624-2012-B1级标准1套；车辆顶部及侧围预埋金属件，采用断续焊，所有焊点处磨平并做防锈处理，增加整车顶部及侧围强度，增加顶部载重能力，1套。</w:t>
            </w:r>
          </w:p>
          <w:p w14:paraId="5155DA16">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B.隔断：驾驶室与医疗舱完全密封隔断（带推拉观察窗）1套。</w:t>
            </w:r>
          </w:p>
          <w:p w14:paraId="4F43768B">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C.舱内左侧≥双10L氧气瓶柜，配置氧气瓶底座、固定支架，柜体表面无尖锐边角，采用原边处理2套。</w:t>
            </w:r>
          </w:p>
          <w:p w14:paraId="5F908834">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D.医疗舱隔断后医疗柜，柜体表面无尖锐边角，采用原边处理1套。</w:t>
            </w:r>
          </w:p>
          <w:p w14:paraId="7F3DB484">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E.舱内多用医药吊柜：吊柜为推拉门，蓝色抗辐射推拉窗1套。</w:t>
            </w:r>
          </w:p>
          <w:p w14:paraId="7AFC99FA">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F.舱内左侧长医疗柜PVC轻型环保材料、蓝色抗辐射推拉窗；平台边缘突出3CM，1套。</w:t>
            </w:r>
          </w:p>
          <w:p w14:paraId="17DD3409">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J.舱内左侧立式多层设备支架：三层上下可调节，带减震棉1套。</w:t>
            </w:r>
          </w:p>
          <w:p w14:paraId="61B795DF">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H.输液挂钩：2个折叠挂钩，未使用时此装置可向舱顶收起，避免对人员造成损伤1套。</w:t>
            </w:r>
          </w:p>
          <w:p w14:paraId="73FFF2F6">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I.舱门顶部边缘软包：舱内顶部边缘软包处理，纤维仿真皮，防止碰撞1套。</w:t>
            </w:r>
          </w:p>
          <w:p w14:paraId="21B56A19">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G.隔音装置：医疗舱车体侧围及顶部用EVA隔音材料，降低医疗舱噪音，隔音材料复合JT/T1095-2016标准1套。</w:t>
            </w:r>
          </w:p>
          <w:p w14:paraId="6C1E43CE">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K.医疗舱内饰采用皮质软包，医疗舱乘客椅采用皮质软包。</w:t>
            </w:r>
          </w:p>
          <w:p w14:paraId="2A41C518">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L.全车采用PVC拼版工艺，板材收边弯折位置、美观锐角处理时应使用PVC封边条。</w:t>
            </w:r>
          </w:p>
          <w:p w14:paraId="35F94E57">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M.医疗柜体开门、抽屉闭合处采用铝合金拉手锁，产品外露不应有明显疵点、划痕、气孔、凹坑、飞边、锋棱、毛刺等缺陷。连接处应牢固圆整光滑不应有裂纹。</w:t>
            </w:r>
          </w:p>
          <w:p w14:paraId="25A1F895">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b w:val="0"/>
                <w:bCs/>
                <w:kern w:val="0"/>
                <w:sz w:val="21"/>
                <w:szCs w:val="21"/>
              </w:rPr>
            </w:pPr>
            <w:r>
              <w:rPr>
                <w:rFonts w:hint="eastAsia" w:ascii="宋体" w:hAnsi="宋体" w:eastAsia="宋体" w:cs="宋体"/>
                <w:sz w:val="21"/>
                <w:szCs w:val="21"/>
                <w:lang w:val="en-US" w:eastAsia="zh-CN"/>
              </w:rPr>
              <w:t>N.医用地板：医用地板耐磨、耐老化、防滑防霉易清洗，阻燃性符合GB8410-2016标准；1套，医用地板下置PVC阻燃板1套。</w:t>
            </w:r>
          </w:p>
        </w:tc>
        <w:tc>
          <w:tcPr>
            <w:tcW w:w="2891" w:type="dxa"/>
            <w:shd w:val="clear" w:color="auto" w:fill="auto"/>
            <w:vAlign w:val="center"/>
          </w:tcPr>
          <w:p w14:paraId="475DA580">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Cs/>
                <w:sz w:val="21"/>
                <w:szCs w:val="21"/>
              </w:rPr>
            </w:pPr>
          </w:p>
        </w:tc>
        <w:tc>
          <w:tcPr>
            <w:tcW w:w="1005" w:type="dxa"/>
            <w:shd w:val="clear" w:color="auto" w:fill="auto"/>
            <w:vAlign w:val="center"/>
          </w:tcPr>
          <w:p w14:paraId="3AF2EEB9">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Cs/>
                <w:sz w:val="21"/>
                <w:szCs w:val="21"/>
              </w:rPr>
            </w:pPr>
          </w:p>
        </w:tc>
      </w:tr>
      <w:tr w14:paraId="21B6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060" w:type="dxa"/>
            <w:vMerge w:val="continue"/>
            <w:shd w:val="clear" w:color="auto" w:fill="auto"/>
            <w:vAlign w:val="center"/>
          </w:tcPr>
          <w:p w14:paraId="4D4B4F57">
            <w:pPr>
              <w:pageBreakBefore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color w:val="000000"/>
                <w:sz w:val="21"/>
                <w:szCs w:val="21"/>
              </w:rPr>
            </w:pPr>
          </w:p>
        </w:tc>
        <w:tc>
          <w:tcPr>
            <w:tcW w:w="5149" w:type="dxa"/>
            <w:shd w:val="clear" w:color="auto" w:fill="auto"/>
            <w:vAlign w:val="center"/>
          </w:tcPr>
          <w:p w14:paraId="1D802BF0">
            <w:pPr>
              <w:keepNext w:val="0"/>
              <w:keepLines w:val="0"/>
              <w:pageBreakBefore w:val="0"/>
              <w:widowControl/>
              <w:numPr>
                <w:ilvl w:val="0"/>
                <w:numId w:val="0"/>
              </w:numPr>
              <w:kinsoku/>
              <w:wordWrap/>
              <w:overflowPunct/>
              <w:topLinePunct w:val="0"/>
              <w:autoSpaceDE/>
              <w:autoSpaceDN/>
              <w:bidi w:val="0"/>
              <w:adjustRightInd/>
              <w:spacing w:line="30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5.空调排风系统：</w:t>
            </w:r>
          </w:p>
          <w:p w14:paraId="007C29F8">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A.空调系统：前后独立控制、可调节风速，内部焊接空调支架1套。</w:t>
            </w:r>
          </w:p>
          <w:p w14:paraId="32B76879">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B.双向换气扇：车厢内换气次数30次/小时，排气量7.5m3/min1套。</w:t>
            </w:r>
          </w:p>
          <w:p w14:paraId="3556AAD3">
            <w:pPr>
              <w:pStyle w:val="28"/>
              <w:keepNext w:val="0"/>
              <w:keepLines w:val="0"/>
              <w:pageBreakBefore w:val="0"/>
              <w:widowControl/>
              <w:numPr>
                <w:ilvl w:val="0"/>
                <w:numId w:val="0"/>
              </w:numPr>
              <w:kinsoku/>
              <w:wordWrap/>
              <w:overflowPunct/>
              <w:topLinePunct w:val="0"/>
              <w:autoSpaceDE/>
              <w:autoSpaceDN/>
              <w:bidi w:val="0"/>
              <w:adjustRightInd/>
              <w:spacing w:line="300" w:lineRule="exact"/>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C.暖风系统：暖风独立控制、可调节风速1套。</w:t>
            </w:r>
          </w:p>
        </w:tc>
        <w:tc>
          <w:tcPr>
            <w:tcW w:w="2891" w:type="dxa"/>
            <w:shd w:val="clear" w:color="auto" w:fill="auto"/>
            <w:vAlign w:val="center"/>
          </w:tcPr>
          <w:p w14:paraId="6B250A4C">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pacing w:val="-2"/>
                <w:sz w:val="21"/>
                <w:szCs w:val="21"/>
              </w:rPr>
            </w:pPr>
          </w:p>
        </w:tc>
        <w:tc>
          <w:tcPr>
            <w:tcW w:w="1005" w:type="dxa"/>
            <w:shd w:val="clear" w:color="auto" w:fill="auto"/>
            <w:vAlign w:val="center"/>
          </w:tcPr>
          <w:p w14:paraId="7565F39D">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pacing w:val="-2"/>
                <w:sz w:val="21"/>
                <w:szCs w:val="21"/>
              </w:rPr>
            </w:pPr>
          </w:p>
        </w:tc>
      </w:tr>
      <w:tr w14:paraId="40EF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shd w:val="clear" w:color="auto" w:fill="auto"/>
            <w:vAlign w:val="center"/>
          </w:tcPr>
          <w:p w14:paraId="78CD264C">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val="en-US" w:eastAsia="zh-CN"/>
              </w:rPr>
            </w:pPr>
          </w:p>
        </w:tc>
        <w:tc>
          <w:tcPr>
            <w:tcW w:w="5149" w:type="dxa"/>
            <w:shd w:val="clear" w:color="auto" w:fill="auto"/>
            <w:vAlign w:val="center"/>
          </w:tcPr>
          <w:p w14:paraId="76B0CA7D">
            <w:pPr>
              <w:keepNext w:val="0"/>
              <w:keepLines w:val="0"/>
              <w:pageBreakBefore w:val="0"/>
              <w:widowControl/>
              <w:numPr>
                <w:ilvl w:val="0"/>
                <w:numId w:val="0"/>
              </w:numPr>
              <w:kinsoku/>
              <w:wordWrap/>
              <w:overflowPunct/>
              <w:topLinePunct w:val="0"/>
              <w:autoSpaceDE/>
              <w:autoSpaceDN/>
              <w:bidi w:val="0"/>
              <w:adjustRightInd/>
              <w:spacing w:line="30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6.照明、消毒系统：</w:t>
            </w:r>
          </w:p>
          <w:p w14:paraId="36F38163">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A.紫外线消毒灯：消毒灯具备定时延时开启功能1套。</w:t>
            </w:r>
          </w:p>
          <w:p w14:paraId="347008A5">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B.医用射灯：3*1W色温中性白2套。</w:t>
            </w:r>
          </w:p>
          <w:p w14:paraId="22A2F16B">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C.顶部照明灯：LED高亮超长照明灯，亮度可调2套。</w:t>
            </w:r>
          </w:p>
          <w:p w14:paraId="1EBACCBB">
            <w:pPr>
              <w:pStyle w:val="16"/>
              <w:pageBreakBefore w:val="0"/>
              <w:numPr>
                <w:ilvl w:val="0"/>
                <w:numId w:val="0"/>
              </w:numPr>
              <w:kinsoku/>
              <w:wordWrap/>
              <w:overflowPunct/>
              <w:topLinePunct w:val="0"/>
              <w:autoSpaceDE/>
              <w:autoSpaceDN/>
              <w:bidi w:val="0"/>
              <w:adjustRightInd/>
              <w:spacing w:line="3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D.后尾部场外照明灯：12V、投光灯、正白光1套。</w:t>
            </w:r>
          </w:p>
        </w:tc>
        <w:tc>
          <w:tcPr>
            <w:tcW w:w="2891" w:type="dxa"/>
            <w:shd w:val="clear" w:color="auto" w:fill="auto"/>
            <w:vAlign w:val="center"/>
          </w:tcPr>
          <w:p w14:paraId="4C440275">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c>
          <w:tcPr>
            <w:tcW w:w="1005" w:type="dxa"/>
            <w:shd w:val="clear" w:color="auto" w:fill="auto"/>
            <w:vAlign w:val="center"/>
          </w:tcPr>
          <w:p w14:paraId="171B5727">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r>
      <w:tr w14:paraId="7AE2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Merge w:val="continue"/>
            <w:shd w:val="clear" w:color="auto" w:fill="auto"/>
            <w:vAlign w:val="center"/>
          </w:tcPr>
          <w:p w14:paraId="6C237397">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val="en-US" w:eastAsia="zh-CN"/>
              </w:rPr>
            </w:pPr>
          </w:p>
        </w:tc>
        <w:tc>
          <w:tcPr>
            <w:tcW w:w="5149" w:type="dxa"/>
            <w:shd w:val="clear" w:color="auto" w:fill="auto"/>
            <w:vAlign w:val="center"/>
          </w:tcPr>
          <w:p w14:paraId="0285C0D1">
            <w:pPr>
              <w:pStyle w:val="16"/>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7.一体化智能电源控制系统：</w:t>
            </w:r>
          </w:p>
          <w:p w14:paraId="5D05FC8C">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★A.救护车电源系统必须为一体化智能电源控制系统，提供检测报告名称相符合，否则</w:t>
            </w:r>
            <w:r>
              <w:rPr>
                <w:rFonts w:hint="eastAsia" w:ascii="宋体" w:hAnsi="宋体" w:eastAsia="宋体" w:cs="宋体"/>
                <w:b w:val="0"/>
                <w:bCs w:val="0"/>
                <w:color w:val="auto"/>
                <w:sz w:val="21"/>
                <w:szCs w:val="21"/>
                <w:lang w:val="en-US" w:eastAsia="zh-CN"/>
              </w:rPr>
              <w:t>为无效</w:t>
            </w:r>
            <w:r>
              <w:rPr>
                <w:rFonts w:hint="eastAsia" w:ascii="宋体" w:hAnsi="宋体" w:cs="宋体"/>
                <w:b w:val="0"/>
                <w:bCs w:val="0"/>
                <w:color w:val="auto"/>
                <w:sz w:val="21"/>
                <w:szCs w:val="21"/>
                <w:lang w:val="en-US" w:eastAsia="zh-CN"/>
              </w:rPr>
              <w:t>报价</w:t>
            </w:r>
            <w:r>
              <w:rPr>
                <w:rFonts w:hint="eastAsia" w:ascii="宋体" w:hAnsi="宋体" w:eastAsia="宋体" w:cs="宋体"/>
                <w:b w:val="0"/>
                <w:bCs w:val="0"/>
                <w:color w:val="auto"/>
                <w:sz w:val="21"/>
                <w:szCs w:val="21"/>
                <w:lang w:val="en-US" w:eastAsia="zh-CN"/>
              </w:rPr>
              <w:t>。</w:t>
            </w:r>
          </w:p>
          <w:p w14:paraId="6B8C779B">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B.一体化智能电源控制系统接口参数配置：</w:t>
            </w:r>
          </w:p>
          <w:p w14:paraId="4D589343">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①配置≧2路，支持300A直流输入口，可支持车载主副蓄电池接入；</w:t>
            </w:r>
          </w:p>
          <w:p w14:paraId="3C3EBC0B">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②配置≧3路（带10A保险保护）可扩展至30A直流输出口，可支持医疗舱环境照明灯光和直流插座接入；</w:t>
            </w:r>
          </w:p>
          <w:p w14:paraId="2A8AC854">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③配置≧5路（带5A保险保护）可扩展至30A直流输出口，可支持医疗舱门控灯、输液灯、换气扇、后照明灯、消毒灯等接入；</w:t>
            </w:r>
          </w:p>
          <w:p w14:paraId="503C2DA0">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配置≧1路交流输出口，输出电压：210-230V，功率≧1500W，波形：纯正弦波，频率：约50HZ，可供医疗舱的交流用的设备使用；（响应文件中须提供具备上述接口参数配置由国家认可的检测中心出具的检验报告，加盖生产厂家公章）</w:t>
            </w:r>
          </w:p>
          <w:p w14:paraId="4EB10DF7">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⑤配置≧9路触发信号接口，可支持医疗舱内控制开关面板接入；</w:t>
            </w:r>
          </w:p>
          <w:p w14:paraId="49B80D2B">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★⑥配置≧1路串行通讯口，支持modbus协议通讯，可与上位机操作软件进行通信；（响应文件中须提供具备上述接口参数配置由国家认可的检测中心出具的检验报告，加盖生产厂家公章）</w:t>
            </w:r>
          </w:p>
          <w:p w14:paraId="7A353C06">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⑦配置≧1路交流输入口，可支持在蓄电池亏电的情况下对其充电和供医疗舱的交流用的设备使用；</w:t>
            </w:r>
          </w:p>
          <w:p w14:paraId="2E1314D5">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⑧配置≧4路（带20A保险保护）可扩展至30A和≧2路（带15A保险保护）可扩展至30A直流输出口，可支持医疗舱直流插座接入。</w:t>
            </w:r>
          </w:p>
          <w:p w14:paraId="06611958">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C.一体化智能电源控制系统功能要求：</w:t>
            </w:r>
          </w:p>
          <w:p w14:paraId="7CC843D4">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①直流输入电压报警：过压报警≧15.00V;低压报警≦10.50V;低压关机≦10.00V；</w:t>
            </w:r>
          </w:p>
          <w:p w14:paraId="41D0E750">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②输出功率过载报警保护：瞬时功率≧105%预警，≧120%报警，≧180%瞬时关断；</w:t>
            </w:r>
          </w:p>
          <w:p w14:paraId="421AEBCC">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③过温报警保护：温度≧45°C预警并启动风速扇热；≧75°C报警并瞬时关断；</w:t>
            </w:r>
          </w:p>
          <w:p w14:paraId="4F645B91">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14:paraId="582EF70E">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⑤智能充电：支持三段式充电：恒流、恒压、浮充，输出最大电流≧15.8A、电压≧14.6V、功率≧180W；</w:t>
            </w:r>
          </w:p>
          <w:p w14:paraId="5C578A01">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★⑥自动关机：整机在输入的触发信号断开5分钟后，系统能够自动关机，时间可以通过串口设置；（响应文件中须提供具备上述功能由国家认可的检测中心出具的检验报告，加盖生产厂家公章）</w:t>
            </w:r>
          </w:p>
          <w:p w14:paraId="0987F459">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⑦显示信息：前面板带LCD显示屏，可显示当前直流输入电压，输出电压、频率、负载率，电池剩余容量，报警代码等信息；</w:t>
            </w:r>
          </w:p>
          <w:p w14:paraId="3F7CCA9C">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为了适应不同的医疗救护场景，便于蓄电池充放电智能管理须支持不少于4情景预设与调用，如输入电压智能趋势分析、固定电压阈值运行模式等，调用方式可以支持拨码开关和串口设置；（响应文件中须提供具备上述功能由国家认可的检测中心出具的检验报告，加盖生产厂家公章）</w:t>
            </w:r>
          </w:p>
          <w:p w14:paraId="1BDBDF59">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9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⑨</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UPS切换时间≦5ms，，系统在市电输入与逆变输出间自动切换不影响医疗舱设备运行，从而实现对医疗舱交流不间断供电；</w:t>
            </w:r>
          </w:p>
          <w:p w14:paraId="6D45E36C">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10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⑩</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不间断供电：在直流输入电压≧12V（即车辆启动状态）且无交流电输入状态下，可实现≧96小时不间断输出交流电压≧220V、功率≧1200W。（响应文件中须提供具备上述功能由国家认可的检测中心出具的检验报告，加盖生产厂家公章）</w:t>
            </w:r>
          </w:p>
          <w:p w14:paraId="3C773601">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★E.一体化智能电源控制系统逆变系统</w:t>
            </w:r>
          </w:p>
          <w:p w14:paraId="305C0778">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逆变器输出功率≥1500W，纯正弦波逆变电源:集逆变、自动充电于一体，并集成在一体化智能电源控制系统内，无需另行安装（提供实物图片证明并且附有内部布局说明图），正弦波输出，稳频稳压，纹波小,为了能确保救护车上各种医疗设备等精密仪器的稳定安全运行，并且由一体化智能电源控制系统生产厂家针对本项目提供承诺书，承诺如后期医疗设备在救护车上使用过程中，因该一体化智能电源控制系统不稳定，导致医疗设备损坏，维修，换机等一切费用由一体化智能电源控制系统生产厂家承担。在签订合同时</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必须提供一体化智能电源控制系统生产厂家营业执照原件、法人身份证原件、承诺书原件、生产许可证原件、检测报告原件等证明。否则不予签订合同。</w:t>
            </w:r>
          </w:p>
          <w:p w14:paraId="223673B7">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F.交/直流插座</w:t>
            </w:r>
          </w:p>
          <w:p w14:paraId="330699D8">
            <w:pPr>
              <w:pStyle w:val="16"/>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组合插座、可接三/二孔的多功能插座3-5个，12V交流插座2个1套。</w:t>
            </w:r>
          </w:p>
        </w:tc>
        <w:tc>
          <w:tcPr>
            <w:tcW w:w="2891" w:type="dxa"/>
            <w:shd w:val="clear" w:color="auto" w:fill="auto"/>
            <w:vAlign w:val="center"/>
          </w:tcPr>
          <w:p w14:paraId="03A61622">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c>
          <w:tcPr>
            <w:tcW w:w="1005" w:type="dxa"/>
            <w:shd w:val="clear" w:color="auto" w:fill="auto"/>
            <w:vAlign w:val="center"/>
          </w:tcPr>
          <w:p w14:paraId="055CA492">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r>
      <w:tr w14:paraId="7578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Merge w:val="continue"/>
            <w:shd w:val="clear" w:color="auto" w:fill="auto"/>
            <w:vAlign w:val="center"/>
          </w:tcPr>
          <w:p w14:paraId="19545DB2">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val="en-US" w:eastAsia="zh-CN"/>
              </w:rPr>
            </w:pPr>
          </w:p>
        </w:tc>
        <w:tc>
          <w:tcPr>
            <w:tcW w:w="5149" w:type="dxa"/>
            <w:shd w:val="clear" w:color="auto" w:fill="auto"/>
            <w:vAlign w:val="center"/>
          </w:tcPr>
          <w:p w14:paraId="062D026F">
            <w:pPr>
              <w:pStyle w:val="16"/>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8.担架、座椅系统：</w:t>
            </w:r>
          </w:p>
          <w:p w14:paraId="5100A30F">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A.朝前座椅：医疗舱右侧安装单人后背可调节式朝前座椅3套。</w:t>
            </w:r>
          </w:p>
          <w:p w14:paraId="33FE57D2">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B.自动上车担架：自动上车担架1套。</w:t>
            </w:r>
          </w:p>
          <w:p w14:paraId="61A41511">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C.自动上车担架配套担架平台：采用优质不锈钢材料制作，辅助担架上下车1套。</w:t>
            </w:r>
          </w:p>
          <w:p w14:paraId="4995FA71">
            <w:pPr>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D.铲式担架：采用优质铝合金材料制作，置于左后门上1套。</w:t>
            </w:r>
          </w:p>
        </w:tc>
        <w:tc>
          <w:tcPr>
            <w:tcW w:w="2891" w:type="dxa"/>
            <w:shd w:val="clear" w:color="auto" w:fill="auto"/>
            <w:vAlign w:val="center"/>
          </w:tcPr>
          <w:p w14:paraId="46093FDC">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c>
          <w:tcPr>
            <w:tcW w:w="1005" w:type="dxa"/>
            <w:shd w:val="clear" w:color="auto" w:fill="auto"/>
            <w:vAlign w:val="center"/>
          </w:tcPr>
          <w:p w14:paraId="75E0578B">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r>
      <w:tr w14:paraId="30EF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Merge w:val="continue"/>
            <w:shd w:val="clear" w:color="auto" w:fill="auto"/>
            <w:vAlign w:val="center"/>
          </w:tcPr>
          <w:p w14:paraId="7718332A">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val="en-US" w:eastAsia="zh-CN"/>
              </w:rPr>
            </w:pPr>
          </w:p>
        </w:tc>
        <w:tc>
          <w:tcPr>
            <w:tcW w:w="5149" w:type="dxa"/>
            <w:shd w:val="clear" w:color="auto" w:fill="auto"/>
            <w:vAlign w:val="center"/>
          </w:tcPr>
          <w:p w14:paraId="36409461">
            <w:pPr>
              <w:pageBreakBefore w:val="0"/>
              <w:kinsoku/>
              <w:wordWrap/>
              <w:overflowPunct/>
              <w:topLinePunct w:val="0"/>
              <w:autoSpaceDE/>
              <w:autoSpaceDN/>
              <w:bidi w:val="0"/>
              <w:adjustRightInd/>
              <w:spacing w:line="3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9.医疗警示外观系统：</w:t>
            </w:r>
          </w:p>
          <w:p w14:paraId="1E774B26">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A.车辆前部车顶安装超高亮度LED嵌入式风翼警灯1套，车尾部安装蓝色尾翼式警灯1套。</w:t>
            </w:r>
          </w:p>
          <w:p w14:paraId="6FF6E14D">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B.车辆左右两侧各安装爆闪警示灯3套。</w:t>
            </w:r>
          </w:p>
          <w:p w14:paraId="67395C83">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C.车辆尾部LED爆闪警灯2套。</w:t>
            </w:r>
          </w:p>
          <w:p w14:paraId="669B8555">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D.驾驶室安装警报、警灯控制器；工作方式:警报器面板控制； 警报器音调调节灯控制1套。</w:t>
            </w:r>
          </w:p>
          <w:p w14:paraId="5957DC7F">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E.医疗舱玻璃窗膜1/2磨砂膜1套。</w:t>
            </w:r>
          </w:p>
          <w:p w14:paraId="40AE1D24">
            <w:pPr>
              <w:pStyle w:val="16"/>
              <w:pageBreakBefore w:val="0"/>
              <w:kinsoku/>
              <w:wordWrap/>
              <w:overflowPunct/>
              <w:topLinePunct w:val="0"/>
              <w:autoSpaceDE/>
              <w:autoSpaceDN/>
              <w:bidi w:val="0"/>
              <w:adjustRightInd/>
              <w:spacing w:line="30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F.车身外观：安装客户要求定制1套。</w:t>
            </w:r>
          </w:p>
        </w:tc>
        <w:tc>
          <w:tcPr>
            <w:tcW w:w="2891" w:type="dxa"/>
            <w:shd w:val="clear" w:color="auto" w:fill="auto"/>
            <w:vAlign w:val="center"/>
          </w:tcPr>
          <w:p w14:paraId="0B851DC1">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c>
          <w:tcPr>
            <w:tcW w:w="1005" w:type="dxa"/>
            <w:shd w:val="clear" w:color="auto" w:fill="auto"/>
            <w:vAlign w:val="center"/>
          </w:tcPr>
          <w:p w14:paraId="37FDA0A7">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r>
      <w:tr w14:paraId="2962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60" w:type="dxa"/>
            <w:vMerge w:val="continue"/>
            <w:shd w:val="clear" w:color="auto" w:fill="auto"/>
            <w:vAlign w:val="center"/>
          </w:tcPr>
          <w:p w14:paraId="2768571A">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val="en-US" w:eastAsia="zh-CN"/>
              </w:rPr>
            </w:pPr>
          </w:p>
        </w:tc>
        <w:tc>
          <w:tcPr>
            <w:tcW w:w="5149" w:type="dxa"/>
            <w:shd w:val="clear" w:color="auto" w:fill="auto"/>
            <w:vAlign w:val="center"/>
          </w:tcPr>
          <w:p w14:paraId="50FE6B13">
            <w:pPr>
              <w:pageBreakBefore w:val="0"/>
              <w:kinsoku/>
              <w:wordWrap/>
              <w:overflowPunct/>
              <w:topLinePunct w:val="0"/>
              <w:autoSpaceDE/>
              <w:autoSpaceDN/>
              <w:bidi w:val="0"/>
              <w:adjustRightInd/>
              <w:spacing w:line="3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10.供氧系统：</w:t>
            </w:r>
          </w:p>
          <w:p w14:paraId="4644EC96">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A.氧气管道：采用医用管作为氧气管道，无缝焊接，壁厚1.5mm1套。</w:t>
            </w:r>
          </w:p>
          <w:p w14:paraId="2085B5C2">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B.氧气瓶≥10L、钢质无缝，含固定支架，4套。</w:t>
            </w:r>
          </w:p>
          <w:p w14:paraId="7575C443">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C.湿化器快速转换接口，插头体总成(氧气)2套。</w:t>
            </w:r>
          </w:p>
          <w:p w14:paraId="1BCF7578">
            <w:pPr>
              <w:pageBreakBefore w:val="0"/>
              <w:kinsoku/>
              <w:wordWrap/>
              <w:overflowPunct/>
              <w:topLinePunct w:val="0"/>
              <w:autoSpaceDE/>
              <w:autoSpaceDN/>
              <w:bidi w:val="0"/>
              <w:adjustRightInd/>
              <w:spacing w:line="30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D.湿化器：流量调节阀和湿化杯连为一体，湿化杯可以360°旋转1套。</w:t>
            </w:r>
          </w:p>
          <w:p w14:paraId="57CD83CF">
            <w:pPr>
              <w:pStyle w:val="16"/>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E.氧气终端：2套德标，2套国标，其中吸氧用终端连接湿化器，呼吸机用的终端连接呼吸机专用接头4套。</w:t>
            </w:r>
          </w:p>
        </w:tc>
        <w:tc>
          <w:tcPr>
            <w:tcW w:w="2891" w:type="dxa"/>
            <w:shd w:val="clear" w:color="auto" w:fill="auto"/>
            <w:vAlign w:val="center"/>
          </w:tcPr>
          <w:p w14:paraId="14566917">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c>
          <w:tcPr>
            <w:tcW w:w="1005" w:type="dxa"/>
            <w:shd w:val="clear" w:color="auto" w:fill="auto"/>
            <w:vAlign w:val="center"/>
          </w:tcPr>
          <w:p w14:paraId="25FF8E55">
            <w:pPr>
              <w:pageBreakBefore w:val="0"/>
              <w:widowControl/>
              <w:kinsoku/>
              <w:wordWrap/>
              <w:overflowPunct/>
              <w:topLinePunct w:val="0"/>
              <w:autoSpaceDE/>
              <w:autoSpaceDN/>
              <w:bidi w:val="0"/>
              <w:adjustRightInd/>
              <w:spacing w:line="300" w:lineRule="exact"/>
              <w:jc w:val="left"/>
              <w:textAlignment w:val="auto"/>
              <w:rPr>
                <w:rFonts w:hint="eastAsia" w:ascii="宋体" w:hAnsi="宋体" w:eastAsia="宋体" w:cs="宋体"/>
                <w:spacing w:val="-2"/>
                <w:sz w:val="21"/>
                <w:szCs w:val="21"/>
              </w:rPr>
            </w:pPr>
          </w:p>
        </w:tc>
      </w:tr>
    </w:tbl>
    <w:p w14:paraId="23848E68">
      <w:pPr>
        <w:pStyle w:val="4"/>
        <w:rPr>
          <w:rFonts w:hint="eastAsia" w:ascii="宋体" w:hAnsi="宋体" w:eastAsia="宋体" w:cs="宋体"/>
          <w:color w:val="auto"/>
          <w:kern w:val="0"/>
          <w:sz w:val="24"/>
          <w:szCs w:val="24"/>
          <w:highlight w:val="none"/>
          <w:lang w:val="en-US" w:eastAsia="zh-CN"/>
        </w:rPr>
      </w:pPr>
    </w:p>
    <w:p w14:paraId="7240395E">
      <w:pPr>
        <w:rPr>
          <w:rFonts w:hint="eastAsia" w:ascii="宋体" w:hAnsi="宋体" w:eastAsia="宋体" w:cs="宋体"/>
          <w:color w:val="auto"/>
          <w:kern w:val="0"/>
          <w:sz w:val="24"/>
          <w:szCs w:val="24"/>
          <w:highlight w:val="none"/>
          <w:lang w:val="en-US" w:eastAsia="zh-CN"/>
        </w:rPr>
      </w:pPr>
    </w:p>
    <w:p w14:paraId="4573775E">
      <w:pPr>
        <w:pStyle w:val="4"/>
        <w:rPr>
          <w:rFonts w:hint="eastAsia" w:ascii="宋体" w:hAnsi="宋体" w:eastAsia="宋体" w:cs="宋体"/>
          <w:color w:val="auto"/>
          <w:kern w:val="0"/>
          <w:sz w:val="24"/>
          <w:szCs w:val="24"/>
          <w:highlight w:val="none"/>
          <w:lang w:val="en-US" w:eastAsia="zh-CN"/>
        </w:rPr>
      </w:pPr>
    </w:p>
    <w:p w14:paraId="71C31140">
      <w:pPr>
        <w:rPr>
          <w:rFonts w:hint="eastAsia" w:ascii="宋体" w:hAnsi="宋体" w:eastAsia="宋体" w:cs="宋体"/>
          <w:color w:val="auto"/>
          <w:kern w:val="0"/>
          <w:sz w:val="24"/>
          <w:szCs w:val="24"/>
          <w:highlight w:val="none"/>
          <w:lang w:val="en-US" w:eastAsia="zh-CN"/>
        </w:rPr>
      </w:pPr>
    </w:p>
    <w:p w14:paraId="5F9A235E">
      <w:pPr>
        <w:pStyle w:val="4"/>
        <w:rPr>
          <w:rFonts w:hint="eastAsia" w:ascii="宋体" w:hAnsi="宋体" w:eastAsia="宋体" w:cs="宋体"/>
          <w:color w:val="auto"/>
          <w:kern w:val="0"/>
          <w:sz w:val="24"/>
          <w:szCs w:val="24"/>
          <w:highlight w:val="none"/>
          <w:lang w:val="en-US" w:eastAsia="zh-CN"/>
        </w:rPr>
      </w:pPr>
    </w:p>
    <w:p w14:paraId="6FDD1446">
      <w:pPr>
        <w:rPr>
          <w:rFonts w:hint="eastAsia" w:ascii="宋体" w:hAnsi="宋体" w:eastAsia="宋体" w:cs="宋体"/>
          <w:color w:val="auto"/>
          <w:kern w:val="0"/>
          <w:sz w:val="24"/>
          <w:szCs w:val="24"/>
          <w:highlight w:val="none"/>
          <w:lang w:val="en-US" w:eastAsia="zh-CN"/>
        </w:rPr>
      </w:pPr>
    </w:p>
    <w:p w14:paraId="3637EE68">
      <w:pPr>
        <w:pStyle w:val="4"/>
        <w:rPr>
          <w:rFonts w:hint="eastAsia" w:ascii="宋体" w:hAnsi="宋体" w:eastAsia="宋体" w:cs="宋体"/>
          <w:color w:val="auto"/>
          <w:kern w:val="0"/>
          <w:sz w:val="24"/>
          <w:szCs w:val="24"/>
          <w:highlight w:val="none"/>
          <w:lang w:val="en-US" w:eastAsia="zh-CN"/>
        </w:rPr>
      </w:pPr>
    </w:p>
    <w:p w14:paraId="39E5D325">
      <w:pPr>
        <w:rPr>
          <w:rFonts w:hint="eastAsia" w:ascii="宋体" w:hAnsi="宋体" w:eastAsia="宋体" w:cs="宋体"/>
          <w:color w:val="auto"/>
          <w:kern w:val="0"/>
          <w:sz w:val="24"/>
          <w:szCs w:val="24"/>
          <w:highlight w:val="none"/>
          <w:lang w:val="en-US" w:eastAsia="zh-CN"/>
        </w:rPr>
      </w:pPr>
    </w:p>
    <w:p w14:paraId="2BCD51AA">
      <w:pPr>
        <w:pStyle w:val="4"/>
        <w:rPr>
          <w:rFonts w:hint="eastAsia" w:ascii="宋体" w:hAnsi="宋体" w:eastAsia="宋体" w:cs="宋体"/>
          <w:color w:val="auto"/>
          <w:kern w:val="0"/>
          <w:sz w:val="24"/>
          <w:szCs w:val="24"/>
          <w:highlight w:val="none"/>
          <w:lang w:val="en-US" w:eastAsia="zh-CN"/>
        </w:rPr>
      </w:pPr>
    </w:p>
    <w:p w14:paraId="615A0C63">
      <w:pPr>
        <w:rPr>
          <w:rFonts w:hint="eastAsia" w:ascii="宋体" w:hAnsi="宋体" w:eastAsia="宋体" w:cs="宋体"/>
          <w:color w:val="auto"/>
          <w:kern w:val="0"/>
          <w:sz w:val="24"/>
          <w:szCs w:val="24"/>
          <w:highlight w:val="none"/>
          <w:lang w:val="en-US" w:eastAsia="zh-CN"/>
        </w:rPr>
      </w:pPr>
    </w:p>
    <w:p w14:paraId="06FFFE1F">
      <w:pPr>
        <w:pStyle w:val="2"/>
        <w:rPr>
          <w:rFonts w:hint="eastAsia" w:ascii="宋体" w:hAnsi="宋体" w:eastAsia="宋体" w:cs="宋体"/>
          <w:color w:val="auto"/>
          <w:kern w:val="0"/>
          <w:sz w:val="24"/>
          <w:szCs w:val="24"/>
          <w:highlight w:val="none"/>
          <w:lang w:val="en-US" w:eastAsia="zh-CN"/>
        </w:rPr>
      </w:pPr>
    </w:p>
    <w:p w14:paraId="0128BCC8">
      <w:pPr>
        <w:rPr>
          <w:rFonts w:hint="eastAsia" w:ascii="宋体" w:hAnsi="宋体" w:eastAsia="宋体" w:cs="宋体"/>
          <w:color w:val="auto"/>
          <w:kern w:val="0"/>
          <w:sz w:val="24"/>
          <w:szCs w:val="24"/>
          <w:highlight w:val="none"/>
          <w:lang w:val="en-US" w:eastAsia="zh-CN"/>
        </w:rPr>
      </w:pPr>
    </w:p>
    <w:p w14:paraId="3F3A484E">
      <w:pPr>
        <w:pStyle w:val="2"/>
        <w:rPr>
          <w:rFonts w:hint="eastAsia" w:ascii="宋体" w:hAnsi="宋体" w:eastAsia="宋体" w:cs="宋体"/>
          <w:color w:val="auto"/>
          <w:kern w:val="0"/>
          <w:sz w:val="24"/>
          <w:szCs w:val="24"/>
          <w:highlight w:val="none"/>
          <w:lang w:val="en-US" w:eastAsia="zh-CN"/>
        </w:rPr>
      </w:pPr>
    </w:p>
    <w:p w14:paraId="4642B2D3">
      <w:pPr>
        <w:rPr>
          <w:rFonts w:hint="eastAsia"/>
          <w:lang w:val="en-US" w:eastAsia="zh-CN"/>
        </w:rPr>
      </w:pPr>
    </w:p>
    <w:p w14:paraId="71D05D0D">
      <w:pPr>
        <w:rPr>
          <w:rFonts w:hint="eastAsia" w:ascii="宋体" w:hAnsi="宋体" w:eastAsia="宋体" w:cs="宋体"/>
          <w:color w:val="auto"/>
          <w:kern w:val="0"/>
          <w:sz w:val="24"/>
          <w:szCs w:val="24"/>
          <w:highlight w:val="none"/>
          <w:lang w:val="en-US" w:eastAsia="zh-CN"/>
        </w:rPr>
      </w:pPr>
    </w:p>
    <w:p w14:paraId="207FB1FB">
      <w:pPr>
        <w:spacing w:line="0" w:lineRule="atLeast"/>
        <w:jc w:val="center"/>
        <w:rPr>
          <w:rFonts w:hint="eastAsia" w:ascii="宋体" w:hAnsi="宋体" w:eastAsia="宋体" w:cs="宋体"/>
          <w:b/>
          <w:color w:val="auto"/>
          <w:sz w:val="30"/>
          <w:szCs w:val="30"/>
          <w:highlight w:val="none"/>
        </w:rPr>
      </w:pPr>
      <w:r>
        <w:rPr>
          <w:rFonts w:hint="eastAsia" w:ascii="宋体" w:hAnsi="宋体" w:cs="宋体"/>
          <w:b/>
          <w:sz w:val="30"/>
          <w:szCs w:val="30"/>
          <w:lang w:val="en-US" w:eastAsia="zh-CN"/>
        </w:rPr>
        <w:t>商务</w:t>
      </w:r>
      <w:r>
        <w:rPr>
          <w:rFonts w:hint="eastAsia" w:ascii="宋体" w:hAnsi="宋体" w:eastAsia="宋体" w:cs="宋体"/>
          <w:b/>
          <w:sz w:val="30"/>
          <w:szCs w:val="30"/>
          <w:lang w:val="en-US" w:eastAsia="zh-CN"/>
        </w:rPr>
        <w:t>需求</w:t>
      </w:r>
      <w:r>
        <w:rPr>
          <w:rFonts w:hint="eastAsia" w:ascii="宋体" w:hAnsi="宋体" w:eastAsia="宋体" w:cs="宋体"/>
          <w:b/>
          <w:sz w:val="30"/>
          <w:szCs w:val="30"/>
        </w:rPr>
        <w:t>响应表</w:t>
      </w:r>
    </w:p>
    <w:p w14:paraId="642289C8">
      <w:pPr>
        <w:keepNext w:val="0"/>
        <w:keepLines w:val="0"/>
        <w:pageBreakBefore w:val="0"/>
        <w:kinsoku/>
        <w:wordWrap/>
        <w:overflowPunct/>
        <w:topLinePunct w:val="0"/>
        <w:autoSpaceDE/>
        <w:autoSpaceDN/>
        <w:bidi w:val="0"/>
        <w:spacing w:line="420" w:lineRule="exact"/>
        <w:rPr>
          <w:rFonts w:hint="eastAsia" w:ascii="宋体" w:hAnsi="宋体" w:eastAsia="宋体" w:cs="宋体"/>
          <w:color w:val="auto"/>
          <w:sz w:val="24"/>
          <w:szCs w:val="24"/>
          <w:highlight w:val="none"/>
        </w:rPr>
      </w:pPr>
    </w:p>
    <w:p w14:paraId="498D1F85">
      <w:pPr>
        <w:keepNext w:val="0"/>
        <w:keepLines w:val="0"/>
        <w:pageBreakBefore w:val="0"/>
        <w:kinsoku/>
        <w:wordWrap/>
        <w:overflowPunct/>
        <w:topLinePunct w:val="0"/>
        <w:autoSpaceDE/>
        <w:autoSpaceDN/>
        <w:bidi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61297810">
      <w:pPr>
        <w:pStyle w:val="12"/>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D23C1CB">
      <w:pPr>
        <w:pStyle w:val="5"/>
        <w:ind w:left="0" w:leftChars="0" w:firstLine="0" w:firstLineChars="0"/>
        <w:rPr>
          <w:rFonts w:hint="eastAsia" w:ascii="宋体" w:hAnsi="宋体" w:eastAsia="宋体" w:cs="宋体"/>
          <w:sz w:val="24"/>
          <w:szCs w:val="24"/>
        </w:rPr>
      </w:pPr>
    </w:p>
    <w:tbl>
      <w:tblPr>
        <w:tblStyle w:val="20"/>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5149"/>
        <w:gridCol w:w="2891"/>
        <w:gridCol w:w="1005"/>
      </w:tblGrid>
      <w:tr w14:paraId="00BB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60" w:type="dxa"/>
            <w:shd w:val="clear" w:color="auto" w:fill="auto"/>
            <w:vAlign w:val="center"/>
          </w:tcPr>
          <w:p w14:paraId="21281601">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w:t>
            </w:r>
          </w:p>
        </w:tc>
        <w:tc>
          <w:tcPr>
            <w:tcW w:w="5149" w:type="dxa"/>
            <w:shd w:val="clear" w:color="auto" w:fill="auto"/>
            <w:vAlign w:val="center"/>
          </w:tcPr>
          <w:p w14:paraId="11B3EAAD">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服务要求内容</w:t>
            </w:r>
          </w:p>
        </w:tc>
        <w:tc>
          <w:tcPr>
            <w:tcW w:w="2891" w:type="dxa"/>
            <w:shd w:val="clear" w:color="auto" w:fill="auto"/>
            <w:vAlign w:val="center"/>
          </w:tcPr>
          <w:p w14:paraId="129B36B0">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响应内容</w:t>
            </w:r>
          </w:p>
        </w:tc>
        <w:tc>
          <w:tcPr>
            <w:tcW w:w="1005" w:type="dxa"/>
            <w:shd w:val="clear" w:color="auto" w:fill="auto"/>
            <w:vAlign w:val="center"/>
          </w:tcPr>
          <w:p w14:paraId="1D6263F9">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响应情况</w:t>
            </w:r>
          </w:p>
        </w:tc>
      </w:tr>
      <w:tr w14:paraId="0F6C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60" w:type="dxa"/>
            <w:vMerge w:val="restart"/>
            <w:shd w:val="clear" w:color="auto" w:fill="auto"/>
            <w:vAlign w:val="center"/>
          </w:tcPr>
          <w:p w14:paraId="07F05D08">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商务要求</w:t>
            </w:r>
          </w:p>
        </w:tc>
        <w:tc>
          <w:tcPr>
            <w:tcW w:w="5149" w:type="dxa"/>
            <w:shd w:val="clear" w:color="auto" w:fill="auto"/>
            <w:vAlign w:val="center"/>
          </w:tcPr>
          <w:p w14:paraId="7C0BDDBF">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val="0"/>
                <w:sz w:val="21"/>
                <w:szCs w:val="21"/>
                <w:lang w:val="en-US" w:eastAsia="zh-CN"/>
              </w:rPr>
              <w:t>供应商资质</w:t>
            </w:r>
            <w:r>
              <w:rPr>
                <w:rFonts w:hint="eastAsia" w:ascii="宋体" w:hAnsi="宋体" w:eastAsia="宋体" w:cs="宋体"/>
                <w:b w:val="0"/>
                <w:bCs/>
                <w:kern w:val="0"/>
                <w:sz w:val="21"/>
                <w:szCs w:val="21"/>
                <w:lang w:val="en-US" w:eastAsia="zh-CN"/>
              </w:rPr>
              <w:t>：</w:t>
            </w:r>
          </w:p>
          <w:p w14:paraId="02E171BD">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①国内注册【依法在市场监督管理部门（或行政审批部门）登记注册】的，具备合法资格的供应商；</w:t>
            </w:r>
          </w:p>
          <w:p w14:paraId="5F88EC91">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②参加本议价采购活动前三年内，在经营活动中没有重大违法记录；</w:t>
            </w:r>
          </w:p>
          <w:p w14:paraId="2BFC4194">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③本项目不接受在“信用中国”网站(www.creditchina.gov.cn)被列入失信被执行人、重大税收违法失信主体、严重违法失信行为记录名单的供应商参与报价；</w:t>
            </w:r>
          </w:p>
          <w:p w14:paraId="3C129140">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④本项目不接受联合体参与报价。</w:t>
            </w:r>
          </w:p>
        </w:tc>
        <w:tc>
          <w:tcPr>
            <w:tcW w:w="2891" w:type="dxa"/>
            <w:shd w:val="clear" w:color="auto" w:fill="auto"/>
            <w:vAlign w:val="center"/>
          </w:tcPr>
          <w:p w14:paraId="50BDDDD9">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1005" w:type="dxa"/>
            <w:shd w:val="clear" w:color="auto" w:fill="auto"/>
            <w:vAlign w:val="center"/>
          </w:tcPr>
          <w:p w14:paraId="13F06005">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665A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60" w:type="dxa"/>
            <w:vMerge w:val="continue"/>
            <w:shd w:val="clear" w:color="auto" w:fill="auto"/>
            <w:vAlign w:val="center"/>
          </w:tcPr>
          <w:p w14:paraId="7A041519">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5149" w:type="dxa"/>
            <w:shd w:val="clear" w:color="auto" w:fill="auto"/>
            <w:vAlign w:val="center"/>
          </w:tcPr>
          <w:p w14:paraId="70E74400">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vertAlign w:val="baseline"/>
                <w:lang w:val="en-US" w:eastAsia="zh-CN" w:bidi="ar-SA"/>
              </w:rPr>
            </w:pPr>
            <w:r>
              <w:rPr>
                <w:rFonts w:hint="eastAsia" w:ascii="宋体" w:hAnsi="宋体" w:eastAsia="宋体" w:cs="宋体"/>
                <w:b w:val="0"/>
                <w:bCs/>
                <w:kern w:val="0"/>
                <w:sz w:val="21"/>
                <w:szCs w:val="21"/>
                <w:vertAlign w:val="baseline"/>
                <w:lang w:val="en-US" w:eastAsia="zh-CN" w:bidi="ar-SA"/>
              </w:rPr>
              <w:t>2.交货期：签订合同后15个工作日内必须全部供完货物及完成安装调试。</w:t>
            </w:r>
          </w:p>
          <w:p w14:paraId="16ED1C35">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vertAlign w:val="baseline"/>
                <w:lang w:val="en-US" w:eastAsia="zh-CN" w:bidi="ar-SA"/>
              </w:rPr>
              <w:t>3.交货地点：广西桂林市</w:t>
            </w:r>
            <w:r>
              <w:rPr>
                <w:rFonts w:hint="eastAsia" w:cs="宋体"/>
                <w:b w:val="0"/>
                <w:bCs/>
                <w:kern w:val="0"/>
                <w:sz w:val="21"/>
                <w:szCs w:val="21"/>
                <w:vertAlign w:val="baseline"/>
                <w:lang w:val="en-US" w:eastAsia="zh-CN" w:bidi="ar-SA"/>
              </w:rPr>
              <w:t>采购人</w:t>
            </w:r>
            <w:r>
              <w:rPr>
                <w:rFonts w:hint="eastAsia" w:ascii="宋体" w:hAnsi="宋体" w:eastAsia="宋体" w:cs="宋体"/>
                <w:b w:val="0"/>
                <w:bCs/>
                <w:kern w:val="0"/>
                <w:sz w:val="21"/>
                <w:szCs w:val="21"/>
                <w:vertAlign w:val="baseline"/>
                <w:lang w:val="en-US" w:eastAsia="zh-CN" w:bidi="ar-SA"/>
              </w:rPr>
              <w:t>院内指定地点。</w:t>
            </w:r>
          </w:p>
        </w:tc>
        <w:tc>
          <w:tcPr>
            <w:tcW w:w="2891" w:type="dxa"/>
            <w:shd w:val="clear" w:color="auto" w:fill="auto"/>
            <w:vAlign w:val="center"/>
          </w:tcPr>
          <w:p w14:paraId="00F38294">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1005" w:type="dxa"/>
            <w:shd w:val="clear" w:color="auto" w:fill="auto"/>
            <w:vAlign w:val="center"/>
          </w:tcPr>
          <w:p w14:paraId="370D0250">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1F65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0" w:type="dxa"/>
            <w:vMerge w:val="continue"/>
            <w:shd w:val="clear" w:color="auto" w:fill="auto"/>
            <w:vAlign w:val="center"/>
          </w:tcPr>
          <w:p w14:paraId="4EF15D7C">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5149" w:type="dxa"/>
            <w:shd w:val="clear" w:color="auto" w:fill="auto"/>
            <w:vAlign w:val="center"/>
          </w:tcPr>
          <w:p w14:paraId="2A45F181">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4.付款方式：</w:t>
            </w:r>
            <w:r>
              <w:rPr>
                <w:rFonts w:hint="eastAsia" w:ascii="宋体" w:hAnsi="宋体" w:eastAsia="宋体" w:cs="宋体"/>
                <w:color w:val="auto"/>
                <w:sz w:val="21"/>
                <w:szCs w:val="21"/>
                <w:lang w:val="en-US" w:eastAsia="zh-CN"/>
              </w:rPr>
              <w:t>合同签订后，</w:t>
            </w:r>
            <w:r>
              <w:rPr>
                <w:rFonts w:hint="eastAsia" w:ascii="宋体" w:hAnsi="宋体" w:eastAsia="宋体" w:cs="宋体"/>
                <w:color w:val="auto"/>
                <w:sz w:val="21"/>
                <w:szCs w:val="21"/>
              </w:rPr>
              <w:t>自验收合格收到</w:t>
            </w:r>
            <w:r>
              <w:rPr>
                <w:rFonts w:hint="eastAsia" w:ascii="宋体" w:hAnsi="宋体" w:eastAsia="宋体" w:cs="宋体"/>
                <w:i w:val="0"/>
                <w:iCs w:val="0"/>
                <w:color w:val="auto"/>
                <w:kern w:val="0"/>
                <w:sz w:val="21"/>
                <w:szCs w:val="21"/>
                <w:u w:val="none"/>
                <w:lang w:val="en-US" w:eastAsia="zh-CN" w:bidi="ar"/>
              </w:rPr>
              <w:t>正规等额、有效发票</w:t>
            </w:r>
            <w:r>
              <w:rPr>
                <w:rFonts w:hint="eastAsia" w:ascii="宋体" w:hAnsi="宋体" w:eastAsia="宋体" w:cs="宋体"/>
                <w:color w:val="auto"/>
                <w:sz w:val="21"/>
                <w:szCs w:val="21"/>
              </w:rPr>
              <w:t>之日起</w:t>
            </w:r>
            <w:r>
              <w:rPr>
                <w:rFonts w:hint="eastAsia" w:ascii="宋体" w:hAnsi="宋体" w:eastAsia="宋体" w:cs="宋体"/>
                <w:color w:val="auto"/>
                <w:sz w:val="21"/>
                <w:szCs w:val="21"/>
                <w:highlight w:val="none"/>
                <w:lang w:val="en-US" w:eastAsia="zh-CN"/>
              </w:rPr>
              <w:t>60个工作日后</w:t>
            </w:r>
            <w:r>
              <w:rPr>
                <w:rFonts w:hint="eastAsia" w:ascii="宋体" w:hAnsi="宋体" w:eastAsia="宋体" w:cs="宋体"/>
                <w:color w:val="auto"/>
                <w:sz w:val="21"/>
                <w:szCs w:val="21"/>
              </w:rPr>
              <w:t>支付合同价款的95%，合同价款的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%作为履约保证金</w:t>
            </w:r>
            <w:r>
              <w:rPr>
                <w:rFonts w:hint="eastAsia" w:ascii="宋体" w:hAnsi="宋体" w:eastAsia="宋体" w:cs="宋体"/>
                <w:color w:val="auto"/>
                <w:sz w:val="21"/>
                <w:szCs w:val="21"/>
                <w:lang w:eastAsia="zh-CN"/>
              </w:rPr>
              <w:t>，</w:t>
            </w:r>
            <w:r>
              <w:rPr>
                <w:rFonts w:hint="eastAsia" w:ascii="宋体" w:hAnsi="宋体" w:eastAsia="宋体" w:cs="宋体"/>
                <w:i w:val="0"/>
                <w:iCs w:val="0"/>
                <w:color w:val="auto"/>
                <w:kern w:val="0"/>
                <w:sz w:val="21"/>
                <w:szCs w:val="21"/>
                <w:u w:val="none"/>
                <w:lang w:val="en-US" w:eastAsia="zh-CN" w:bidi="ar"/>
              </w:rPr>
              <w:t>质保期满30个工作日后付清</w:t>
            </w:r>
            <w:r>
              <w:rPr>
                <w:rFonts w:hint="eastAsia" w:ascii="宋体" w:hAnsi="宋体" w:eastAsia="宋体" w:cs="宋体"/>
                <w:color w:val="auto"/>
                <w:sz w:val="21"/>
                <w:szCs w:val="21"/>
              </w:rPr>
              <w:t>（无息）</w:t>
            </w:r>
            <w:r>
              <w:rPr>
                <w:rFonts w:hint="eastAsia" w:ascii="宋体" w:hAnsi="宋体" w:eastAsia="宋体" w:cs="宋体"/>
                <w:i w:val="0"/>
                <w:iCs w:val="0"/>
                <w:color w:val="auto"/>
                <w:kern w:val="0"/>
                <w:sz w:val="21"/>
                <w:szCs w:val="21"/>
                <w:u w:val="none"/>
                <w:lang w:val="en-US" w:eastAsia="zh-CN" w:bidi="ar"/>
              </w:rPr>
              <w:t>。</w:t>
            </w:r>
          </w:p>
        </w:tc>
        <w:tc>
          <w:tcPr>
            <w:tcW w:w="2891" w:type="dxa"/>
            <w:shd w:val="clear" w:color="auto" w:fill="auto"/>
            <w:vAlign w:val="center"/>
          </w:tcPr>
          <w:p w14:paraId="4526545D">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1005" w:type="dxa"/>
            <w:shd w:val="clear" w:color="auto" w:fill="auto"/>
            <w:vAlign w:val="center"/>
          </w:tcPr>
          <w:p w14:paraId="1EA00E69">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6534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60" w:type="dxa"/>
            <w:vMerge w:val="continue"/>
            <w:shd w:val="clear" w:color="auto" w:fill="auto"/>
            <w:vAlign w:val="center"/>
          </w:tcPr>
          <w:p w14:paraId="519B6389">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auto"/>
                <w:sz w:val="21"/>
                <w:szCs w:val="21"/>
                <w:highlight w:val="none"/>
                <w:lang w:eastAsia="zh-CN"/>
              </w:rPr>
            </w:pPr>
          </w:p>
        </w:tc>
        <w:tc>
          <w:tcPr>
            <w:tcW w:w="5149" w:type="dxa"/>
            <w:shd w:val="clear" w:color="auto" w:fill="auto"/>
            <w:vAlign w:val="center"/>
          </w:tcPr>
          <w:p w14:paraId="049EE627">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5.质量要求及验收标准：</w:t>
            </w:r>
          </w:p>
          <w:p w14:paraId="63317290">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质量要求：供应商所提供的产品必须为原装正品的、全新的、完好无破损的产品，产品应符合相关国家标准、行业标准、地方标准或者其他标准、规范等有关质量标准及制造厂家合格产品的厂质量标准；货物到货交付时，采购人于现场根据招标文件要求及投标文件承诺逐条对应进行核验，核验不合格的，不予验收，采购人有权终止合同执行并全部退货，由此造成采购人损失的由供应商负责承担全部赔偿责任。</w:t>
            </w:r>
          </w:p>
          <w:p w14:paraId="0B433FCA">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（2）验收标准：</w:t>
            </w:r>
          </w:p>
          <w:p w14:paraId="6F4A2776">
            <w:pPr>
              <w:ind w:left="0" w:leftChars="0" w:right="0" w:righ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①</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按</w:t>
            </w:r>
            <w:r>
              <w:rPr>
                <w:rFonts w:hint="eastAsia" w:ascii="宋体" w:hAnsi="宋体" w:cs="宋体"/>
                <w:b w:val="0"/>
                <w:bCs/>
                <w:color w:val="auto"/>
                <w:sz w:val="21"/>
                <w:szCs w:val="21"/>
                <w:highlight w:val="none"/>
                <w:lang w:val="en-US" w:eastAsia="zh-CN"/>
              </w:rPr>
              <w:t>议价文件</w:t>
            </w:r>
            <w:r>
              <w:rPr>
                <w:rFonts w:hint="eastAsia" w:ascii="宋体" w:hAnsi="宋体" w:eastAsia="宋体" w:cs="宋体"/>
                <w:b w:val="0"/>
                <w:bCs/>
                <w:color w:val="auto"/>
                <w:sz w:val="21"/>
                <w:szCs w:val="21"/>
                <w:highlight w:val="none"/>
                <w:lang w:val="en-US" w:eastAsia="zh-CN"/>
              </w:rPr>
              <w:t>要求，</w:t>
            </w:r>
            <w:r>
              <w:rPr>
                <w:rFonts w:hint="eastAsia" w:ascii="宋体" w:hAnsi="宋体" w:cs="宋体"/>
                <w:b w:val="0"/>
                <w:bCs/>
                <w:color w:val="auto"/>
                <w:sz w:val="21"/>
                <w:szCs w:val="21"/>
                <w:highlight w:val="none"/>
                <w:lang w:val="en-US" w:eastAsia="zh-CN"/>
              </w:rPr>
              <w:t>供应商</w:t>
            </w:r>
            <w:r>
              <w:rPr>
                <w:rFonts w:hint="eastAsia" w:cs="宋体"/>
                <w:b w:val="0"/>
                <w:bCs/>
                <w:color w:val="auto"/>
                <w:kern w:val="0"/>
                <w:sz w:val="21"/>
                <w:szCs w:val="21"/>
                <w:highlight w:val="none"/>
                <w:lang w:val="en-US" w:eastAsia="zh-CN"/>
              </w:rPr>
              <w:t>按报价文件中</w:t>
            </w:r>
            <w:r>
              <w:rPr>
                <w:rFonts w:hint="eastAsia" w:ascii="宋体" w:hAnsi="宋体" w:eastAsia="宋体" w:cs="宋体"/>
                <w:b w:val="0"/>
                <w:bCs/>
                <w:color w:val="auto"/>
                <w:sz w:val="21"/>
                <w:szCs w:val="21"/>
                <w:highlight w:val="none"/>
                <w:lang w:val="en-US" w:eastAsia="zh-CN"/>
              </w:rPr>
              <w:t>承诺及强制执行的国家相关标准、规范要求进行验收。</w:t>
            </w:r>
            <w:r>
              <w:rPr>
                <w:rFonts w:hint="eastAsia" w:ascii="宋体" w:hAnsi="宋体" w:cs="宋体"/>
                <w:b w:val="0"/>
                <w:bCs/>
                <w:color w:val="auto"/>
                <w:sz w:val="21"/>
                <w:szCs w:val="21"/>
                <w:highlight w:val="none"/>
                <w:lang w:val="en-US" w:eastAsia="zh-CN"/>
              </w:rPr>
              <w:t>报价文件</w:t>
            </w:r>
            <w:r>
              <w:rPr>
                <w:rFonts w:hint="eastAsia" w:ascii="宋体" w:hAnsi="宋体" w:eastAsia="宋体" w:cs="宋体"/>
                <w:b w:val="0"/>
                <w:bCs/>
                <w:color w:val="auto"/>
                <w:sz w:val="21"/>
                <w:szCs w:val="21"/>
                <w:highlight w:val="none"/>
                <w:lang w:val="en-US" w:eastAsia="zh-CN"/>
              </w:rPr>
              <w:t>承诺必须是真实、有效的响应和承诺。</w:t>
            </w:r>
          </w:p>
          <w:p w14:paraId="47BCC182">
            <w:pPr>
              <w:ind w:left="0" w:leftChars="0" w:right="0" w:righ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②</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所提供的标的必须为原厂原装正品的、全新的、完好无破损的产品，产品应符合国家相关标准、规范等有关质量要求；标的到货安装前，</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于现场根据</w:t>
            </w:r>
            <w:r>
              <w:rPr>
                <w:rFonts w:hint="eastAsia" w:ascii="宋体" w:hAnsi="宋体" w:cs="宋体"/>
                <w:b w:val="0"/>
                <w:bCs/>
                <w:color w:val="auto"/>
                <w:sz w:val="21"/>
                <w:szCs w:val="21"/>
                <w:highlight w:val="none"/>
                <w:lang w:val="en-US" w:eastAsia="zh-CN"/>
              </w:rPr>
              <w:t>议价文件</w:t>
            </w:r>
            <w:r>
              <w:rPr>
                <w:rFonts w:hint="eastAsia" w:ascii="宋体" w:hAnsi="宋体" w:eastAsia="宋体" w:cs="宋体"/>
                <w:b w:val="0"/>
                <w:bCs/>
                <w:color w:val="auto"/>
                <w:sz w:val="21"/>
                <w:szCs w:val="21"/>
                <w:highlight w:val="none"/>
                <w:lang w:val="en-US" w:eastAsia="zh-CN"/>
              </w:rPr>
              <w:t>要求及</w:t>
            </w:r>
            <w:r>
              <w:rPr>
                <w:rFonts w:hint="eastAsia" w:ascii="宋体" w:hAnsi="宋体" w:cs="宋体"/>
                <w:b w:val="0"/>
                <w:bCs/>
                <w:color w:val="auto"/>
                <w:sz w:val="21"/>
                <w:szCs w:val="21"/>
                <w:highlight w:val="none"/>
                <w:lang w:val="en-US" w:eastAsia="zh-CN"/>
              </w:rPr>
              <w:t>供应商报价文件</w:t>
            </w:r>
            <w:r>
              <w:rPr>
                <w:rFonts w:hint="eastAsia" w:ascii="宋体" w:hAnsi="宋体" w:eastAsia="宋体" w:cs="宋体"/>
                <w:b w:val="0"/>
                <w:bCs/>
                <w:color w:val="auto"/>
                <w:sz w:val="21"/>
                <w:szCs w:val="21"/>
                <w:highlight w:val="none"/>
                <w:lang w:val="en-US" w:eastAsia="zh-CN"/>
              </w:rPr>
              <w:t>承诺逐条对应进行核验，核验不合格的，不予验收，</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有权解除合同，同时报相关监督管理部门处理，由此造成</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经济损失的由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负责承担全部赔偿责任和本项目合同金额20%的违约金。</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如有异议，将交由国家认可并具有检验检测资质的第三方机构进行检验，所有产生的费用由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承担，若核验结果的各项参数指标不满足</w:t>
            </w:r>
            <w:r>
              <w:rPr>
                <w:rFonts w:hint="eastAsia" w:ascii="宋体" w:hAnsi="宋体" w:cs="宋体"/>
                <w:b w:val="0"/>
                <w:bCs/>
                <w:color w:val="auto"/>
                <w:sz w:val="21"/>
                <w:szCs w:val="21"/>
                <w:highlight w:val="none"/>
                <w:lang w:val="en-US" w:eastAsia="zh-CN"/>
              </w:rPr>
              <w:t>议价文件</w:t>
            </w:r>
            <w:r>
              <w:rPr>
                <w:rFonts w:hint="eastAsia" w:ascii="宋体" w:hAnsi="宋体" w:eastAsia="宋体" w:cs="宋体"/>
                <w:b w:val="0"/>
                <w:bCs/>
                <w:color w:val="auto"/>
                <w:sz w:val="21"/>
                <w:szCs w:val="21"/>
                <w:highlight w:val="none"/>
                <w:lang w:val="en-US" w:eastAsia="zh-CN"/>
              </w:rPr>
              <w:t>要求及</w:t>
            </w:r>
            <w:r>
              <w:rPr>
                <w:rFonts w:hint="eastAsia" w:ascii="宋体" w:hAnsi="宋体" w:cs="宋体"/>
                <w:b w:val="0"/>
                <w:bCs/>
                <w:color w:val="auto"/>
                <w:sz w:val="21"/>
                <w:szCs w:val="21"/>
                <w:highlight w:val="none"/>
                <w:lang w:val="en-US" w:eastAsia="zh-CN"/>
              </w:rPr>
              <w:t>报价文件中</w:t>
            </w:r>
            <w:r>
              <w:rPr>
                <w:rFonts w:hint="eastAsia" w:ascii="宋体" w:hAnsi="宋体" w:eastAsia="宋体" w:cs="宋体"/>
                <w:b w:val="0"/>
                <w:bCs/>
                <w:color w:val="auto"/>
                <w:sz w:val="21"/>
                <w:szCs w:val="21"/>
                <w:highlight w:val="none"/>
                <w:lang w:val="en-US" w:eastAsia="zh-CN"/>
              </w:rPr>
              <w:t>承诺的指标要求，</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同时承担虚假</w:t>
            </w:r>
            <w:r>
              <w:rPr>
                <w:rFonts w:hint="eastAsia" w:ascii="宋体" w:hAnsi="宋体" w:cs="宋体"/>
                <w:b w:val="0"/>
                <w:bCs/>
                <w:color w:val="auto"/>
                <w:sz w:val="21"/>
                <w:szCs w:val="21"/>
                <w:highlight w:val="none"/>
                <w:lang w:val="en-US" w:eastAsia="zh-CN"/>
              </w:rPr>
              <w:t>报价</w:t>
            </w:r>
            <w:r>
              <w:rPr>
                <w:rFonts w:hint="eastAsia" w:ascii="宋体" w:hAnsi="宋体" w:eastAsia="宋体" w:cs="宋体"/>
                <w:b w:val="0"/>
                <w:bCs/>
                <w:color w:val="auto"/>
                <w:sz w:val="21"/>
                <w:szCs w:val="21"/>
                <w:highlight w:val="none"/>
                <w:lang w:val="en-US" w:eastAsia="zh-CN"/>
              </w:rPr>
              <w:t>的相关法律责任。</w:t>
            </w:r>
          </w:p>
          <w:p w14:paraId="20EF704B">
            <w:pPr>
              <w:ind w:left="0" w:leftChars="0" w:right="0" w:righ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③验收其他要求按合同条款执行。</w:t>
            </w:r>
          </w:p>
          <w:p w14:paraId="4F291EC3">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3）在交付车辆时，供应商必须提供上好车辆牌(验证)所需的一切相关资料（如：整车合格证、机动车环保清单和强制性产品车辆一致性证书等）及随车的工具器材。应交付该车的全部真实、有效的证件以及缴税、费凭证。保证交付前该车的维护正常，手续完整，否则不予验收。</w:t>
            </w:r>
          </w:p>
        </w:tc>
        <w:tc>
          <w:tcPr>
            <w:tcW w:w="2891" w:type="dxa"/>
            <w:shd w:val="clear" w:color="auto" w:fill="auto"/>
            <w:vAlign w:val="center"/>
          </w:tcPr>
          <w:p w14:paraId="3F5D79B3">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c>
          <w:tcPr>
            <w:tcW w:w="1005" w:type="dxa"/>
            <w:shd w:val="clear" w:color="auto" w:fill="auto"/>
            <w:vAlign w:val="center"/>
          </w:tcPr>
          <w:p w14:paraId="7731A2C1">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r>
      <w:tr w14:paraId="29D9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060" w:type="dxa"/>
            <w:vMerge w:val="continue"/>
            <w:shd w:val="clear" w:color="auto" w:fill="auto"/>
            <w:vAlign w:val="center"/>
          </w:tcPr>
          <w:p w14:paraId="032DEC47">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auto"/>
                <w:sz w:val="21"/>
                <w:szCs w:val="21"/>
                <w:highlight w:val="none"/>
                <w:lang w:eastAsia="zh-CN"/>
              </w:rPr>
            </w:pPr>
          </w:p>
        </w:tc>
        <w:tc>
          <w:tcPr>
            <w:tcW w:w="5149" w:type="dxa"/>
            <w:shd w:val="clear" w:color="auto" w:fill="auto"/>
            <w:vAlign w:val="center"/>
          </w:tcPr>
          <w:p w14:paraId="666C7824">
            <w:pPr>
              <w:pStyle w:val="28"/>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6.违约责任：</w:t>
            </w:r>
          </w:p>
          <w:p w14:paraId="7D8683D3">
            <w:pPr>
              <w:pStyle w:val="28"/>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①</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所提供的货物规格、技术标准、材料等质量不合格的，应及时更换，更换不及时的按逾期交货处罚，</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应向</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支付合同金额5%违约金并赔偿</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经济损失。</w:t>
            </w:r>
          </w:p>
          <w:p w14:paraId="3752185B">
            <w:pPr>
              <w:ind w:left="0" w:leftChars="0" w:right="0" w:rightChars="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②</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提供的货物如果侵犯了第三方合法权益而引发的任何纠纷或诉讼，均由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负责交涉并承担全部责任；在履行本合同过程中非因</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的原因引发的诉讼，由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承担全部责任（包括不限于赔偿费、</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的经济损失费、律师费、仲裁费、诉讼费等费用，</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承担后，有权向第三方追偿）。</w:t>
            </w:r>
          </w:p>
          <w:p w14:paraId="67F86834">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③因包装、运输引起的货物损坏，按质量不合格处理。</w:t>
            </w:r>
          </w:p>
          <w:p w14:paraId="296C31AC">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④</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无故延期接受货物、</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逾期交货的，每天向对方偿付合同金额3‰违约金，但违约金额不得超过合同金额5%，超过20天对方有权解除合同，违约方承担因此给对方造成的经济损失：</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延期付货款的，每天向</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偿付逾期金额1‰违约金，但违约金累计不得超过逾期金额5%。</w:t>
            </w:r>
          </w:p>
          <w:p w14:paraId="7FEB545B">
            <w:pPr>
              <w:ind w:left="0" w:leftChars="0" w:right="0" w:righ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⑤</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未按本合同和</w:t>
            </w:r>
            <w:r>
              <w:rPr>
                <w:rFonts w:hint="eastAsia" w:ascii="宋体" w:hAnsi="宋体" w:cs="宋体"/>
                <w:b w:val="0"/>
                <w:bCs/>
                <w:color w:val="auto"/>
                <w:sz w:val="21"/>
                <w:szCs w:val="21"/>
                <w:highlight w:val="none"/>
                <w:lang w:val="en-US" w:eastAsia="zh-CN"/>
              </w:rPr>
              <w:t>报价文件</w:t>
            </w:r>
            <w:r>
              <w:rPr>
                <w:rFonts w:hint="eastAsia" w:ascii="宋体" w:hAnsi="宋体" w:eastAsia="宋体" w:cs="宋体"/>
                <w:b w:val="0"/>
                <w:bCs/>
                <w:color w:val="auto"/>
                <w:sz w:val="21"/>
                <w:szCs w:val="21"/>
                <w:highlight w:val="none"/>
                <w:lang w:val="en-US" w:eastAsia="zh-CN"/>
              </w:rPr>
              <w:t>中规定的服务承诺提供售后服务的，</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应每次按本合同合计金额2%向</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支付违约金。</w:t>
            </w:r>
          </w:p>
          <w:p w14:paraId="3F7DC4DF">
            <w:pPr>
              <w:ind w:left="0" w:leftChars="0" w:right="0" w:rightChars="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⑥</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提供的货物在质保期内，因设计、工艺或材料的缺陷和其他质量原因造成的问题，由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en-US" w:eastAsia="zh-CN"/>
              </w:rPr>
              <w:t>负责，费用从合同价款中扣除，不足另补。</w:t>
            </w:r>
          </w:p>
          <w:p w14:paraId="3DD005C2">
            <w:pPr>
              <w:keepNext w:val="0"/>
              <w:keepLines w:val="0"/>
              <w:pageBreakBefore w:val="0"/>
              <w:widowControl/>
              <w:numPr>
                <w:ilvl w:val="0"/>
                <w:numId w:val="0"/>
              </w:numPr>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⑦</w:t>
            </w:r>
            <w:r>
              <w:rPr>
                <w:rFonts w:hint="eastAsia" w:ascii="宋体" w:hAnsi="宋体"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其他违约行为按违约货款额5%收取违约金并赔偿经济损失。</w:t>
            </w:r>
          </w:p>
        </w:tc>
        <w:tc>
          <w:tcPr>
            <w:tcW w:w="2891" w:type="dxa"/>
            <w:shd w:val="clear" w:color="auto" w:fill="auto"/>
            <w:vAlign w:val="center"/>
          </w:tcPr>
          <w:p w14:paraId="38020814">
            <w:pPr>
              <w:pageBreakBefore w:val="0"/>
              <w:kinsoku/>
              <w:wordWrap/>
              <w:overflowPunct/>
              <w:topLinePunct w:val="0"/>
              <w:autoSpaceDE/>
              <w:autoSpaceDN/>
              <w:bidi w:val="0"/>
              <w:adjustRightInd/>
              <w:spacing w:line="300" w:lineRule="exact"/>
              <w:textAlignment w:val="auto"/>
              <w:rPr>
                <w:rFonts w:hint="eastAsia" w:ascii="宋体" w:hAnsi="宋体" w:eastAsia="宋体" w:cs="宋体"/>
                <w:b w:val="0"/>
                <w:bCs/>
                <w:color w:val="auto"/>
                <w:sz w:val="21"/>
                <w:szCs w:val="21"/>
                <w:highlight w:val="none"/>
              </w:rPr>
            </w:pPr>
          </w:p>
          <w:p w14:paraId="115ACB34">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c>
          <w:tcPr>
            <w:tcW w:w="1005" w:type="dxa"/>
            <w:shd w:val="clear" w:color="auto" w:fill="auto"/>
            <w:vAlign w:val="center"/>
          </w:tcPr>
          <w:p w14:paraId="6DEB4791">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r>
      <w:tr w14:paraId="0CAF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0" w:type="dxa"/>
            <w:vMerge w:val="continue"/>
            <w:shd w:val="clear" w:color="auto" w:fill="auto"/>
            <w:vAlign w:val="center"/>
          </w:tcPr>
          <w:p w14:paraId="6909DD6B">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auto"/>
                <w:sz w:val="21"/>
                <w:szCs w:val="21"/>
                <w:highlight w:val="none"/>
                <w:lang w:eastAsia="zh-CN"/>
              </w:rPr>
            </w:pPr>
          </w:p>
        </w:tc>
        <w:tc>
          <w:tcPr>
            <w:tcW w:w="5149" w:type="dxa"/>
            <w:shd w:val="clear" w:color="auto" w:fill="auto"/>
            <w:vAlign w:val="center"/>
          </w:tcPr>
          <w:p w14:paraId="490456C0">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bidi="ar-SA"/>
              </w:rPr>
              <w:t>7.</w:t>
            </w:r>
            <w:r>
              <w:rPr>
                <w:rFonts w:hint="eastAsia" w:ascii="宋体" w:hAnsi="宋体" w:eastAsia="宋体" w:cs="宋体"/>
                <w:b w:val="0"/>
                <w:bCs/>
                <w:color w:val="auto"/>
                <w:kern w:val="0"/>
                <w:sz w:val="21"/>
                <w:szCs w:val="21"/>
                <w:highlight w:val="none"/>
                <w:lang w:val="en-US" w:eastAsia="zh-CN"/>
              </w:rPr>
              <w:t>其他商务要求</w:t>
            </w:r>
          </w:p>
          <w:p w14:paraId="57B41078">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①</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应保证针对本项目的货物涉及到的知识产权和所提供的相关技术资料是合法取得，并享有完整的知识产权，不会因为</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的使用而被责令停止使用，追偿或要求赔偿损失，如出现此情况，一切经济和法律责任均由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承担。</w:t>
            </w:r>
          </w:p>
          <w:p w14:paraId="7B880401">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②</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应充分考虑供货成本及参数要求，如</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恶意低价竞争、且中标后无法按要求提供货物或者所供货物无法满足</w:t>
            </w:r>
            <w:r>
              <w:rPr>
                <w:rFonts w:hint="eastAsia" w:cs="宋体"/>
                <w:b w:val="0"/>
                <w:bCs/>
                <w:color w:val="auto"/>
                <w:kern w:val="0"/>
                <w:sz w:val="21"/>
                <w:szCs w:val="21"/>
                <w:highlight w:val="none"/>
                <w:lang w:val="en-US" w:eastAsia="zh-CN"/>
              </w:rPr>
              <w:t>议价文件</w:t>
            </w:r>
            <w:r>
              <w:rPr>
                <w:rFonts w:hint="eastAsia" w:ascii="宋体" w:hAnsi="宋体" w:eastAsia="宋体" w:cs="宋体"/>
                <w:b w:val="0"/>
                <w:bCs/>
                <w:color w:val="auto"/>
                <w:kern w:val="0"/>
                <w:sz w:val="21"/>
                <w:szCs w:val="21"/>
                <w:highlight w:val="none"/>
                <w:lang w:val="en-US" w:eastAsia="zh-CN"/>
              </w:rPr>
              <w:t>及</w:t>
            </w:r>
            <w:r>
              <w:rPr>
                <w:rFonts w:hint="eastAsia" w:cs="宋体"/>
                <w:b w:val="0"/>
                <w:bCs/>
                <w:color w:val="auto"/>
                <w:kern w:val="0"/>
                <w:sz w:val="21"/>
                <w:szCs w:val="21"/>
                <w:highlight w:val="none"/>
                <w:lang w:val="en-US" w:eastAsia="zh-CN"/>
              </w:rPr>
              <w:t>报价文件</w:t>
            </w:r>
            <w:r>
              <w:rPr>
                <w:rFonts w:hint="eastAsia" w:ascii="宋体" w:hAnsi="宋体" w:eastAsia="宋体" w:cs="宋体"/>
                <w:b w:val="0"/>
                <w:bCs/>
                <w:color w:val="auto"/>
                <w:kern w:val="0"/>
                <w:sz w:val="21"/>
                <w:szCs w:val="21"/>
                <w:highlight w:val="none"/>
                <w:lang w:val="en-US" w:eastAsia="zh-CN"/>
              </w:rPr>
              <w:t>承诺要求的，</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有权全部退货，按违约处理，</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保留因耽误</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使用时间造成的损失进行赔偿的权利，移送司法机关诉诸法律手段，追究</w:t>
            </w:r>
            <w:r>
              <w:rPr>
                <w:rFonts w:hint="eastAsia" w:cs="宋体"/>
                <w:b w:val="0"/>
                <w:bCs/>
                <w:color w:val="auto"/>
                <w:kern w:val="0"/>
                <w:sz w:val="21"/>
                <w:szCs w:val="21"/>
                <w:highlight w:val="none"/>
                <w:lang w:val="en-US" w:eastAsia="zh-CN"/>
              </w:rPr>
              <w:t>报价人</w:t>
            </w:r>
            <w:r>
              <w:rPr>
                <w:rFonts w:hint="eastAsia" w:ascii="宋体" w:hAnsi="宋体" w:eastAsia="宋体" w:cs="宋体"/>
                <w:b w:val="0"/>
                <w:bCs/>
                <w:color w:val="auto"/>
                <w:kern w:val="0"/>
                <w:sz w:val="21"/>
                <w:szCs w:val="21"/>
                <w:highlight w:val="none"/>
                <w:lang w:val="en-US" w:eastAsia="zh-CN"/>
              </w:rPr>
              <w:t>的法律责任，由此引发的一切后果由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承担。</w:t>
            </w:r>
          </w:p>
          <w:p w14:paraId="72652032">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③</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在本次招标活动中提供任何虚假材料，报价文件按无效处理；若</w:t>
            </w:r>
            <w:r>
              <w:rPr>
                <w:rFonts w:hint="eastAsia" w:cs="宋体"/>
                <w:b w:val="0"/>
                <w:bCs/>
                <w:color w:val="auto"/>
                <w:kern w:val="0"/>
                <w:sz w:val="21"/>
                <w:szCs w:val="21"/>
                <w:highlight w:val="none"/>
                <w:lang w:val="en-US" w:eastAsia="zh-CN"/>
              </w:rPr>
              <w:t>供应商成交</w:t>
            </w:r>
            <w:r>
              <w:rPr>
                <w:rFonts w:hint="eastAsia" w:ascii="宋体" w:hAnsi="宋体" w:eastAsia="宋体" w:cs="宋体"/>
                <w:b w:val="0"/>
                <w:bCs/>
                <w:color w:val="auto"/>
                <w:kern w:val="0"/>
                <w:sz w:val="21"/>
                <w:szCs w:val="21"/>
                <w:highlight w:val="none"/>
                <w:lang w:val="en-US" w:eastAsia="zh-CN"/>
              </w:rPr>
              <w:t>后，</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发现</w:t>
            </w:r>
            <w:r>
              <w:rPr>
                <w:rFonts w:hint="eastAsia"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提供虚假材料的，</w:t>
            </w:r>
            <w:r>
              <w:rPr>
                <w:rFonts w:hint="eastAsia"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须按照《中华人民共和国消费者权益保护法》第55条规定，且民事赔偿并不免除违法供应商的行政与刑事责任。</w:t>
            </w:r>
          </w:p>
          <w:p w14:paraId="703E8DDE">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④报价应包括本次招标范围内所有设备价款、设备随配标准附件、包装、运输、装卸、保险、税金、到位安装、安装所需辅材、调试、检验、维护、培训、接口、其他等所涉及到的一切费用及在项目招标中产生的服务费的总和；供应商综合考虑在报价中。</w:t>
            </w:r>
          </w:p>
          <w:p w14:paraId="6ED18D8F">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vertAlign w:val="baseline"/>
                <w:lang w:val="en-US" w:eastAsia="zh-CN"/>
              </w:rPr>
              <w:t>⑤不接受进口产品（即通过中国海关报关验放进入中国境内且产自关境外的产品）参与</w:t>
            </w:r>
            <w:r>
              <w:rPr>
                <w:rFonts w:hint="eastAsia" w:ascii="宋体" w:hAnsi="宋体" w:cs="宋体"/>
                <w:b w:val="0"/>
                <w:bCs/>
                <w:color w:val="auto"/>
                <w:kern w:val="0"/>
                <w:sz w:val="21"/>
                <w:szCs w:val="21"/>
                <w:highlight w:val="none"/>
                <w:vertAlign w:val="baseline"/>
                <w:lang w:val="en-US" w:eastAsia="zh-CN"/>
              </w:rPr>
              <w:t>报价</w:t>
            </w:r>
            <w:r>
              <w:rPr>
                <w:rFonts w:hint="eastAsia" w:ascii="宋体" w:hAnsi="宋体" w:eastAsia="宋体" w:cs="宋体"/>
                <w:b w:val="0"/>
                <w:bCs/>
                <w:color w:val="auto"/>
                <w:kern w:val="0"/>
                <w:sz w:val="21"/>
                <w:szCs w:val="21"/>
                <w:highlight w:val="none"/>
                <w:vertAlign w:val="baseline"/>
                <w:lang w:val="en-US" w:eastAsia="zh-CN"/>
              </w:rPr>
              <w:t>，如有此类产品参与</w:t>
            </w:r>
            <w:r>
              <w:rPr>
                <w:rFonts w:hint="eastAsia" w:ascii="宋体" w:hAnsi="宋体" w:cs="宋体"/>
                <w:b w:val="0"/>
                <w:bCs/>
                <w:color w:val="auto"/>
                <w:kern w:val="0"/>
                <w:sz w:val="21"/>
                <w:szCs w:val="21"/>
                <w:highlight w:val="none"/>
                <w:vertAlign w:val="baseline"/>
                <w:lang w:val="en-US" w:eastAsia="zh-CN"/>
              </w:rPr>
              <w:t>报价</w:t>
            </w:r>
            <w:r>
              <w:rPr>
                <w:rFonts w:hint="eastAsia" w:ascii="宋体" w:hAnsi="宋体" w:eastAsia="宋体" w:cs="宋体"/>
                <w:b w:val="0"/>
                <w:bCs/>
                <w:color w:val="auto"/>
                <w:kern w:val="0"/>
                <w:sz w:val="21"/>
                <w:szCs w:val="21"/>
                <w:highlight w:val="none"/>
                <w:vertAlign w:val="baseline"/>
                <w:lang w:val="en-US" w:eastAsia="zh-CN"/>
              </w:rPr>
              <w:t>的作无效处理。</w:t>
            </w:r>
          </w:p>
        </w:tc>
        <w:tc>
          <w:tcPr>
            <w:tcW w:w="2891" w:type="dxa"/>
            <w:shd w:val="clear" w:color="auto" w:fill="auto"/>
            <w:vAlign w:val="center"/>
          </w:tcPr>
          <w:p w14:paraId="5BBF4EAA">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c>
          <w:tcPr>
            <w:tcW w:w="1005" w:type="dxa"/>
            <w:shd w:val="clear" w:color="auto" w:fill="auto"/>
            <w:vAlign w:val="center"/>
          </w:tcPr>
          <w:p w14:paraId="0D4F28E9">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r>
      <w:tr w14:paraId="745C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0" w:type="dxa"/>
            <w:shd w:val="clear" w:color="auto" w:fill="auto"/>
            <w:vAlign w:val="center"/>
          </w:tcPr>
          <w:p w14:paraId="021471D5">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auto"/>
                <w:sz w:val="21"/>
                <w:szCs w:val="21"/>
                <w:highlight w:val="none"/>
                <w:lang w:eastAsia="zh-CN"/>
              </w:rPr>
            </w:pPr>
          </w:p>
        </w:tc>
        <w:tc>
          <w:tcPr>
            <w:tcW w:w="5149" w:type="dxa"/>
            <w:shd w:val="clear" w:color="auto" w:fill="auto"/>
            <w:vAlign w:val="center"/>
          </w:tcPr>
          <w:p w14:paraId="527AB5D3">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vertAlign w:val="baseline"/>
                <w:lang w:val="en-US" w:eastAsia="zh-CN"/>
              </w:rPr>
              <w:t>8.售后服务：</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提供的以下售后服务均应包含在报价中，</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不再就此另行支付任何费用：</w:t>
            </w:r>
          </w:p>
          <w:p w14:paraId="6A998BC0">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①按照国家有关产品“三包”规定执行“三包”，医疗仓保修期不得少于两年（自验收合格之日起计算），底盘</w:t>
            </w:r>
            <w:r>
              <w:rPr>
                <w:rFonts w:hint="eastAsia" w:ascii="宋体" w:hAnsi="宋体" w:cs="宋体"/>
                <w:sz w:val="21"/>
                <w:szCs w:val="21"/>
                <w:lang w:val="en-US" w:eastAsia="zh-CN"/>
              </w:rPr>
              <w:t>保修</w:t>
            </w:r>
            <w:r>
              <w:rPr>
                <w:rFonts w:hint="eastAsia" w:ascii="宋体" w:hAnsi="宋体" w:eastAsia="宋体" w:cs="宋体"/>
                <w:b w:val="0"/>
                <w:bCs/>
                <w:color w:val="auto"/>
                <w:kern w:val="0"/>
                <w:sz w:val="21"/>
                <w:szCs w:val="21"/>
                <w:highlight w:val="none"/>
                <w:lang w:val="en-US" w:eastAsia="zh-CN"/>
              </w:rPr>
              <w:t>不得少于3年或行驶里程6万公里（以先到为准）。</w:t>
            </w:r>
          </w:p>
          <w:p w14:paraId="1D8ECF6D">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②招标范围内的货物送货上门、安装调试合格，并提供技术培训服务直至</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熟练操作各项功能。</w:t>
            </w:r>
          </w:p>
          <w:p w14:paraId="348033EC">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③保修期内非人为损坏，</w:t>
            </w:r>
            <w:r>
              <w:rPr>
                <w:rFonts w:hint="eastAsia"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 xml:space="preserve">更换所有故障零配件，并提供设备的系统软件及硬件的安全性改版升级和技术支持，确保设备正常运行。 </w:t>
            </w:r>
          </w:p>
          <w:p w14:paraId="359B04DE">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④保修期内设备发生故障时，2小时以内响应，24小时内派工程师到场时间。如需更换配件，小型配件3个工作日内更换完毕，大型配件7个工作日内更换完毕，要求更换的配件是原厂全新的零配件。</w:t>
            </w:r>
          </w:p>
          <w:p w14:paraId="3849F997">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val="en-US" w:eastAsia="zh-CN"/>
              </w:rPr>
              <w:t>⑤</w:t>
            </w:r>
            <w:r>
              <w:rPr>
                <w:rFonts w:hint="eastAsia" w:ascii="宋体" w:hAnsi="宋体"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协助</w:t>
            </w:r>
            <w:r>
              <w:rPr>
                <w:rFonts w:hint="eastAsia" w:ascii="宋体" w:hAnsi="宋体"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完成车辆注册登记事宜。</w:t>
            </w:r>
          </w:p>
        </w:tc>
        <w:tc>
          <w:tcPr>
            <w:tcW w:w="2891" w:type="dxa"/>
            <w:shd w:val="clear" w:color="auto" w:fill="auto"/>
            <w:vAlign w:val="center"/>
          </w:tcPr>
          <w:p w14:paraId="669985E6">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c>
          <w:tcPr>
            <w:tcW w:w="1005" w:type="dxa"/>
            <w:shd w:val="clear" w:color="auto" w:fill="auto"/>
            <w:vAlign w:val="center"/>
          </w:tcPr>
          <w:p w14:paraId="0B935802">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val="0"/>
                <w:bCs/>
                <w:color w:val="auto"/>
                <w:sz w:val="21"/>
                <w:szCs w:val="21"/>
                <w:highlight w:val="none"/>
              </w:rPr>
            </w:pPr>
          </w:p>
        </w:tc>
      </w:tr>
    </w:tbl>
    <w:p w14:paraId="364A67B4">
      <w:pPr>
        <w:pStyle w:val="4"/>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注：请供应商认真评估本项目“项目需求和说明”的规定，“★”均为实质性响应要求，若有任意一项偏离，报价文件按无效处理。</w:t>
      </w:r>
    </w:p>
    <w:p w14:paraId="294181F3">
      <w:pPr>
        <w:spacing w:line="0" w:lineRule="atLeast"/>
        <w:jc w:val="both"/>
        <w:rPr>
          <w:rFonts w:hint="eastAsia" w:hAnsi="宋体"/>
          <w:b/>
          <w:sz w:val="32"/>
          <w:szCs w:val="32"/>
          <w:lang w:val="en-US" w:eastAsia="zh-CN"/>
        </w:rPr>
      </w:pPr>
    </w:p>
    <w:p w14:paraId="747094B6">
      <w:pPr>
        <w:spacing w:line="0" w:lineRule="atLeast"/>
        <w:jc w:val="center"/>
        <w:rPr>
          <w:rFonts w:hint="eastAsia" w:hAnsi="宋体"/>
          <w:b/>
          <w:sz w:val="32"/>
          <w:szCs w:val="32"/>
          <w:lang w:val="en-US" w:eastAsia="zh-CN"/>
        </w:rPr>
      </w:pPr>
    </w:p>
    <w:p w14:paraId="599CB5A5">
      <w:pPr>
        <w:spacing w:line="0" w:lineRule="atLeast"/>
        <w:jc w:val="center"/>
        <w:rPr>
          <w:rFonts w:hint="eastAsia" w:hAnsi="宋体"/>
          <w:b/>
          <w:sz w:val="32"/>
          <w:szCs w:val="32"/>
          <w:lang w:val="en-US" w:eastAsia="zh-CN"/>
        </w:rPr>
      </w:pPr>
    </w:p>
    <w:p w14:paraId="2FA72CE6">
      <w:pPr>
        <w:spacing w:line="0" w:lineRule="atLeast"/>
        <w:jc w:val="center"/>
        <w:rPr>
          <w:rFonts w:hint="eastAsia" w:hAnsi="宋体"/>
          <w:b/>
          <w:sz w:val="32"/>
          <w:szCs w:val="32"/>
          <w:lang w:val="en-US" w:eastAsia="zh-CN"/>
        </w:rPr>
      </w:pPr>
    </w:p>
    <w:p w14:paraId="6DD85E7E">
      <w:pPr>
        <w:spacing w:line="0" w:lineRule="atLeast"/>
        <w:jc w:val="center"/>
        <w:rPr>
          <w:rFonts w:hint="eastAsia" w:hAnsi="宋体"/>
          <w:b/>
          <w:sz w:val="32"/>
          <w:szCs w:val="32"/>
          <w:lang w:val="en-US" w:eastAsia="zh-CN"/>
        </w:rPr>
      </w:pPr>
    </w:p>
    <w:p w14:paraId="5D1D88A4">
      <w:pPr>
        <w:spacing w:line="0" w:lineRule="atLeast"/>
        <w:jc w:val="center"/>
        <w:rPr>
          <w:rFonts w:hint="default" w:ascii="宋体" w:hAnsi="宋体"/>
          <w:b/>
          <w:color w:val="auto"/>
          <w:sz w:val="32"/>
          <w:szCs w:val="32"/>
          <w:highlight w:val="none"/>
          <w:lang w:val="en-US"/>
        </w:rPr>
      </w:pPr>
      <w:r>
        <w:rPr>
          <w:rFonts w:hint="eastAsia" w:hAnsi="宋体"/>
          <w:b/>
          <w:sz w:val="32"/>
          <w:szCs w:val="32"/>
          <w:lang w:val="en-US" w:eastAsia="zh-CN"/>
        </w:rPr>
        <w:t>供应商跟进评分标准提供其他材料</w:t>
      </w:r>
    </w:p>
    <w:p w14:paraId="349C41C5">
      <w:pPr>
        <w:pStyle w:val="4"/>
        <w:rPr>
          <w:rFonts w:hint="eastAsia"/>
          <w:lang w:val="en-US" w:eastAsia="zh-CN"/>
        </w:rPr>
      </w:pPr>
    </w:p>
    <w:sectPr>
      <w:footerReference r:id="rId5" w:type="default"/>
      <w:pgSz w:w="11906" w:h="16838"/>
      <w:pgMar w:top="1304" w:right="130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A12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79F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0C79F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13A9">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05605F">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905605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B923">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BE92"/>
    <w:multiLevelType w:val="singleLevel"/>
    <w:tmpl w:val="FDBCBE92"/>
    <w:lvl w:ilvl="0" w:tentative="0">
      <w:start w:val="2"/>
      <w:numFmt w:val="decimal"/>
      <w:suff w:val="nothing"/>
      <w:lvlText w:val="（%1）"/>
      <w:lvlJc w:val="left"/>
    </w:lvl>
  </w:abstractNum>
  <w:abstractNum w:abstractNumId="1">
    <w:nsid w:val="5C946299"/>
    <w:multiLevelType w:val="singleLevel"/>
    <w:tmpl w:val="5C946299"/>
    <w:lvl w:ilvl="0"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zBkYTEwODIwYzhjZjA1MTAxNTFkOTI0NzUzNjkifQ=="/>
  </w:docVars>
  <w:rsids>
    <w:rsidRoot w:val="1382169D"/>
    <w:rsid w:val="00103897"/>
    <w:rsid w:val="00454CE0"/>
    <w:rsid w:val="00DE743F"/>
    <w:rsid w:val="02683984"/>
    <w:rsid w:val="02B52671"/>
    <w:rsid w:val="02FD0CF1"/>
    <w:rsid w:val="03170066"/>
    <w:rsid w:val="040C25C7"/>
    <w:rsid w:val="04243DB5"/>
    <w:rsid w:val="04B37A2D"/>
    <w:rsid w:val="050745CD"/>
    <w:rsid w:val="07007FB0"/>
    <w:rsid w:val="07131B99"/>
    <w:rsid w:val="07D72731"/>
    <w:rsid w:val="084A6CA8"/>
    <w:rsid w:val="08E753B1"/>
    <w:rsid w:val="0951415D"/>
    <w:rsid w:val="0986545C"/>
    <w:rsid w:val="09D26538"/>
    <w:rsid w:val="0AC32F5A"/>
    <w:rsid w:val="0B2B77D7"/>
    <w:rsid w:val="0BBB53E9"/>
    <w:rsid w:val="0C410494"/>
    <w:rsid w:val="0C607D04"/>
    <w:rsid w:val="0CBB0F91"/>
    <w:rsid w:val="0D1E53E8"/>
    <w:rsid w:val="0DA37AF0"/>
    <w:rsid w:val="0DA737E2"/>
    <w:rsid w:val="0E1F47C3"/>
    <w:rsid w:val="0F144FD0"/>
    <w:rsid w:val="0F307AB2"/>
    <w:rsid w:val="0F8D7EF3"/>
    <w:rsid w:val="114F21D0"/>
    <w:rsid w:val="11574FFC"/>
    <w:rsid w:val="119D51A7"/>
    <w:rsid w:val="11C369CD"/>
    <w:rsid w:val="12936D65"/>
    <w:rsid w:val="13195B80"/>
    <w:rsid w:val="136F3FF2"/>
    <w:rsid w:val="1382169D"/>
    <w:rsid w:val="13932382"/>
    <w:rsid w:val="13ED1A3D"/>
    <w:rsid w:val="142B4CEC"/>
    <w:rsid w:val="14BC3D6A"/>
    <w:rsid w:val="14C56781"/>
    <w:rsid w:val="150F1F18"/>
    <w:rsid w:val="152279A2"/>
    <w:rsid w:val="15B81AAD"/>
    <w:rsid w:val="167100F6"/>
    <w:rsid w:val="16922B1A"/>
    <w:rsid w:val="176E5B42"/>
    <w:rsid w:val="18EC5F6C"/>
    <w:rsid w:val="19240790"/>
    <w:rsid w:val="19692D39"/>
    <w:rsid w:val="197D7C42"/>
    <w:rsid w:val="19B749B1"/>
    <w:rsid w:val="1A2C63B1"/>
    <w:rsid w:val="1C14008C"/>
    <w:rsid w:val="1CA55D24"/>
    <w:rsid w:val="1D213EAF"/>
    <w:rsid w:val="1D2E7C28"/>
    <w:rsid w:val="1D550BE9"/>
    <w:rsid w:val="1D6F2F20"/>
    <w:rsid w:val="1EB1403F"/>
    <w:rsid w:val="1EBF357F"/>
    <w:rsid w:val="20854155"/>
    <w:rsid w:val="208B10B6"/>
    <w:rsid w:val="20D34741"/>
    <w:rsid w:val="21895A79"/>
    <w:rsid w:val="21A91DD1"/>
    <w:rsid w:val="2205092A"/>
    <w:rsid w:val="228856AB"/>
    <w:rsid w:val="23040025"/>
    <w:rsid w:val="243E26CD"/>
    <w:rsid w:val="25E023B3"/>
    <w:rsid w:val="27AC53B6"/>
    <w:rsid w:val="280076E6"/>
    <w:rsid w:val="28083D45"/>
    <w:rsid w:val="280F4863"/>
    <w:rsid w:val="2AAE4597"/>
    <w:rsid w:val="2BFF4CF2"/>
    <w:rsid w:val="2C6142EF"/>
    <w:rsid w:val="2CAC44FE"/>
    <w:rsid w:val="2CEF7B05"/>
    <w:rsid w:val="2D1E4F96"/>
    <w:rsid w:val="2D2C4FA8"/>
    <w:rsid w:val="2D37421B"/>
    <w:rsid w:val="2F212776"/>
    <w:rsid w:val="2F8070B6"/>
    <w:rsid w:val="30933641"/>
    <w:rsid w:val="312A1C3D"/>
    <w:rsid w:val="324673DF"/>
    <w:rsid w:val="329761A5"/>
    <w:rsid w:val="33D86299"/>
    <w:rsid w:val="33E07B69"/>
    <w:rsid w:val="341C79D9"/>
    <w:rsid w:val="3495360E"/>
    <w:rsid w:val="34BF4EEE"/>
    <w:rsid w:val="34CD5E58"/>
    <w:rsid w:val="35750DC5"/>
    <w:rsid w:val="36173CCD"/>
    <w:rsid w:val="365C45AC"/>
    <w:rsid w:val="379F3931"/>
    <w:rsid w:val="38085B45"/>
    <w:rsid w:val="389F0A37"/>
    <w:rsid w:val="39CF7145"/>
    <w:rsid w:val="39E373A4"/>
    <w:rsid w:val="3A576195"/>
    <w:rsid w:val="3AC743FB"/>
    <w:rsid w:val="3ADD3822"/>
    <w:rsid w:val="3B512793"/>
    <w:rsid w:val="3C0D57D9"/>
    <w:rsid w:val="3C4367D2"/>
    <w:rsid w:val="3C990531"/>
    <w:rsid w:val="3D43787A"/>
    <w:rsid w:val="3E3A59A8"/>
    <w:rsid w:val="3EED2C60"/>
    <w:rsid w:val="4142490E"/>
    <w:rsid w:val="429E19A1"/>
    <w:rsid w:val="42DF230B"/>
    <w:rsid w:val="42E21359"/>
    <w:rsid w:val="435D0145"/>
    <w:rsid w:val="43CC0E50"/>
    <w:rsid w:val="44613C8E"/>
    <w:rsid w:val="4597723C"/>
    <w:rsid w:val="46764208"/>
    <w:rsid w:val="46B33190"/>
    <w:rsid w:val="46EB31A0"/>
    <w:rsid w:val="479B2F0C"/>
    <w:rsid w:val="483A4452"/>
    <w:rsid w:val="48FA4C52"/>
    <w:rsid w:val="49A85443"/>
    <w:rsid w:val="4A312547"/>
    <w:rsid w:val="4ABA1761"/>
    <w:rsid w:val="4B4D3A91"/>
    <w:rsid w:val="4B4E47F1"/>
    <w:rsid w:val="4C3A6B73"/>
    <w:rsid w:val="4C651AA9"/>
    <w:rsid w:val="4CBC303B"/>
    <w:rsid w:val="4D740965"/>
    <w:rsid w:val="4D7A7AAC"/>
    <w:rsid w:val="4D9667F9"/>
    <w:rsid w:val="4E526418"/>
    <w:rsid w:val="4E87251F"/>
    <w:rsid w:val="4EEA0F57"/>
    <w:rsid w:val="4F652159"/>
    <w:rsid w:val="4FA04619"/>
    <w:rsid w:val="4FBA24A4"/>
    <w:rsid w:val="501F407B"/>
    <w:rsid w:val="503E4BB7"/>
    <w:rsid w:val="50B13D19"/>
    <w:rsid w:val="50EC2028"/>
    <w:rsid w:val="510D00F6"/>
    <w:rsid w:val="521710D8"/>
    <w:rsid w:val="52B54C41"/>
    <w:rsid w:val="52C06024"/>
    <w:rsid w:val="54200C96"/>
    <w:rsid w:val="542F7997"/>
    <w:rsid w:val="54B90E02"/>
    <w:rsid w:val="558176A7"/>
    <w:rsid w:val="55E20E59"/>
    <w:rsid w:val="55FE26A7"/>
    <w:rsid w:val="569573EA"/>
    <w:rsid w:val="5791024B"/>
    <w:rsid w:val="57AC32CF"/>
    <w:rsid w:val="5852361E"/>
    <w:rsid w:val="58A24002"/>
    <w:rsid w:val="595D75C8"/>
    <w:rsid w:val="59CC3A3D"/>
    <w:rsid w:val="59FF38D6"/>
    <w:rsid w:val="5A6A6AA4"/>
    <w:rsid w:val="5B682B6F"/>
    <w:rsid w:val="5B9F6428"/>
    <w:rsid w:val="5C0D7E00"/>
    <w:rsid w:val="5C1761A2"/>
    <w:rsid w:val="5C5D4ED4"/>
    <w:rsid w:val="5CAB38A1"/>
    <w:rsid w:val="5CEF75D4"/>
    <w:rsid w:val="5D72486F"/>
    <w:rsid w:val="5D7C0480"/>
    <w:rsid w:val="5E2B4A9C"/>
    <w:rsid w:val="5FE13BEC"/>
    <w:rsid w:val="606B0631"/>
    <w:rsid w:val="60AC4FE5"/>
    <w:rsid w:val="615700BA"/>
    <w:rsid w:val="631E0465"/>
    <w:rsid w:val="63A804BC"/>
    <w:rsid w:val="65C854C3"/>
    <w:rsid w:val="65DC302A"/>
    <w:rsid w:val="65F91B21"/>
    <w:rsid w:val="66523899"/>
    <w:rsid w:val="6656456F"/>
    <w:rsid w:val="673A4CF0"/>
    <w:rsid w:val="67A34A51"/>
    <w:rsid w:val="67A82BE8"/>
    <w:rsid w:val="691055B9"/>
    <w:rsid w:val="69246CE7"/>
    <w:rsid w:val="6AD24564"/>
    <w:rsid w:val="6AD447E1"/>
    <w:rsid w:val="6AE31739"/>
    <w:rsid w:val="6CB1796E"/>
    <w:rsid w:val="6F800BBD"/>
    <w:rsid w:val="6F9264CF"/>
    <w:rsid w:val="702131CC"/>
    <w:rsid w:val="71372ABA"/>
    <w:rsid w:val="71C320DE"/>
    <w:rsid w:val="726A0E84"/>
    <w:rsid w:val="7290606C"/>
    <w:rsid w:val="72E97C24"/>
    <w:rsid w:val="734B14EC"/>
    <w:rsid w:val="74426882"/>
    <w:rsid w:val="758834A4"/>
    <w:rsid w:val="75C141A4"/>
    <w:rsid w:val="76160D66"/>
    <w:rsid w:val="76E80695"/>
    <w:rsid w:val="774D6950"/>
    <w:rsid w:val="78E71CAD"/>
    <w:rsid w:val="79F846E4"/>
    <w:rsid w:val="7A2333FA"/>
    <w:rsid w:val="7A6615E0"/>
    <w:rsid w:val="7BEE0FEB"/>
    <w:rsid w:val="7C660AAA"/>
    <w:rsid w:val="7CD73B97"/>
    <w:rsid w:val="7EAB1EEB"/>
    <w:rsid w:val="7FCA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spacing w:before="161"/>
      <w:ind w:left="218"/>
      <w:outlineLvl w:val="1"/>
    </w:pPr>
    <w:rPr>
      <w:rFonts w:ascii="宋体" w:hAnsi="宋体" w:eastAsia="宋体" w:cs="宋体"/>
      <w:b/>
      <w:bCs/>
      <w:sz w:val="24"/>
      <w:szCs w:val="24"/>
      <w:lang w:val="en-US" w:eastAsia="zh-CN" w:bidi="ar-SA"/>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5">
    <w:name w:val="index 8"/>
    <w:basedOn w:val="1"/>
    <w:next w:val="1"/>
    <w:unhideWhenUsed/>
    <w:qFormat/>
    <w:uiPriority w:val="0"/>
    <w:pPr>
      <w:ind w:left="2940"/>
    </w:pPr>
  </w:style>
  <w:style w:type="paragraph" w:styleId="6">
    <w:name w:val="Normal Indent"/>
    <w:basedOn w:val="1"/>
    <w:next w:val="7"/>
    <w:autoRedefine/>
    <w:qFormat/>
    <w:uiPriority w:val="0"/>
    <w:pPr>
      <w:widowControl/>
      <w:ind w:firstLine="420"/>
      <w:jc w:val="left"/>
    </w:pPr>
    <w:rPr>
      <w:kern w:val="0"/>
      <w:sz w:val="20"/>
      <w:szCs w:val="20"/>
    </w:rPr>
  </w:style>
  <w:style w:type="paragraph" w:customStyle="1" w:styleId="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rPr>
      <w:rFonts w:eastAsia="宋体"/>
      <w:sz w:val="21"/>
    </w:rPr>
  </w:style>
  <w:style w:type="paragraph" w:styleId="10">
    <w:name w:val="Body Text Indent"/>
    <w:basedOn w:val="1"/>
    <w:qFormat/>
    <w:uiPriority w:val="0"/>
    <w:pPr>
      <w:spacing w:line="460" w:lineRule="exact"/>
      <w:ind w:firstLine="560"/>
    </w:pPr>
    <w:rPr>
      <w:sz w:val="28"/>
      <w:szCs w:val="20"/>
    </w:rPr>
  </w:style>
  <w:style w:type="paragraph" w:styleId="11">
    <w:name w:val="toc 3"/>
    <w:basedOn w:val="1"/>
    <w:next w:val="1"/>
    <w:autoRedefine/>
    <w:unhideWhenUsed/>
    <w:qFormat/>
    <w:uiPriority w:val="39"/>
    <w:pPr>
      <w:ind w:left="840" w:leftChars="400"/>
    </w:pPr>
  </w:style>
  <w:style w:type="paragraph" w:styleId="12">
    <w:name w:val="Plain Text"/>
    <w:basedOn w:val="1"/>
    <w:autoRedefine/>
    <w:qFormat/>
    <w:uiPriority w:val="0"/>
    <w:rPr>
      <w:rFonts w:ascii="宋体" w:hAnsi="Courier New"/>
      <w:kern w:val="0"/>
      <w:sz w:val="20"/>
      <w:szCs w:val="20"/>
    </w:rPr>
  </w:style>
  <w:style w:type="paragraph" w:styleId="13">
    <w:name w:val="endnote text"/>
    <w:basedOn w:val="1"/>
    <w:autoRedefine/>
    <w:semiHidden/>
    <w:qFormat/>
    <w:uiPriority w:val="99"/>
    <w:pPr>
      <w:snapToGrid w:val="0"/>
      <w:jc w:val="left"/>
    </w:pPr>
  </w:style>
  <w:style w:type="paragraph" w:styleId="14">
    <w:name w:val="footer"/>
    <w:basedOn w:val="1"/>
    <w:autoRedefine/>
    <w:qFormat/>
    <w:uiPriority w:val="0"/>
    <w:pPr>
      <w:tabs>
        <w:tab w:val="center" w:pos="4153"/>
        <w:tab w:val="right" w:pos="8306"/>
      </w:tabs>
      <w:snapToGrid w:val="0"/>
      <w:jc w:val="left"/>
    </w:pPr>
    <w:rPr>
      <w:kern w:val="0"/>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style>
  <w:style w:type="paragraph" w:styleId="17">
    <w:name w:val="footnote text"/>
    <w:basedOn w:val="1"/>
    <w:autoRedefine/>
    <w:unhideWhenUsed/>
    <w:qFormat/>
    <w:uiPriority w:val="99"/>
    <w:pPr>
      <w:snapToGrid w:val="0"/>
      <w:jc w:val="left"/>
    </w:pPr>
    <w:rPr>
      <w:sz w:val="18"/>
      <w:szCs w:val="18"/>
    </w:rPr>
  </w:style>
  <w:style w:type="paragraph" w:styleId="1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autoRedefine/>
    <w:qFormat/>
    <w:uiPriority w:val="1"/>
    <w:pPr>
      <w:spacing w:before="171"/>
      <w:ind w:left="2520" w:right="2556"/>
      <w:jc w:val="center"/>
    </w:pPr>
    <w:rPr>
      <w:rFonts w:ascii="宋体" w:hAnsi="宋体" w:eastAsia="宋体" w:cs="宋体"/>
      <w:sz w:val="44"/>
      <w:szCs w:val="44"/>
      <w:lang w:val="en-US" w:eastAsia="zh-CN" w:bidi="ar-SA"/>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Hyperlink"/>
    <w:basedOn w:val="22"/>
    <w:autoRedefine/>
    <w:qFormat/>
    <w:uiPriority w:val="0"/>
    <w:rPr>
      <w:color w:val="0000FF"/>
      <w:u w:val="single"/>
    </w:rPr>
  </w:style>
  <w:style w:type="character" w:styleId="25">
    <w:name w:val="annotation reference"/>
    <w:semiHidden/>
    <w:unhideWhenUsed/>
    <w:qFormat/>
    <w:uiPriority w:val="99"/>
    <w:rPr>
      <w:sz w:val="21"/>
      <w:szCs w:val="21"/>
    </w:rPr>
  </w:style>
  <w:style w:type="character" w:customStyle="1" w:styleId="26">
    <w:name w:val="font11"/>
    <w:basedOn w:val="22"/>
    <w:autoRedefine/>
    <w:qFormat/>
    <w:uiPriority w:val="0"/>
    <w:rPr>
      <w:rFonts w:hint="eastAsia" w:ascii="宋体" w:hAnsi="宋体" w:eastAsia="宋体" w:cs="宋体"/>
      <w:color w:val="000000"/>
      <w:sz w:val="20"/>
      <w:szCs w:val="20"/>
      <w:u w:val="none"/>
    </w:rPr>
  </w:style>
  <w:style w:type="character" w:customStyle="1" w:styleId="27">
    <w:name w:val="font01"/>
    <w:basedOn w:val="22"/>
    <w:autoRedefine/>
    <w:qFormat/>
    <w:uiPriority w:val="0"/>
    <w:rPr>
      <w:rFonts w:hint="default" w:ascii="Arial" w:hAnsi="Arial" w:cs="Arial"/>
      <w:color w:val="000000"/>
      <w:sz w:val="20"/>
      <w:szCs w:val="20"/>
      <w:u w:val="none"/>
    </w:rPr>
  </w:style>
  <w:style w:type="paragraph" w:styleId="28">
    <w:name w:val="List Paragraph"/>
    <w:basedOn w:val="1"/>
    <w:autoRedefine/>
    <w:qFormat/>
    <w:uiPriority w:val="34"/>
    <w:pPr>
      <w:widowControl/>
      <w:ind w:firstLine="420" w:firstLineChars="200"/>
      <w:jc w:val="left"/>
    </w:pPr>
    <w:rPr>
      <w:rFonts w:ascii="宋体" w:hAnsi="宋体" w:eastAsia="宋体" w:cs="宋体"/>
      <w:kern w:val="0"/>
      <w:sz w:val="24"/>
    </w:rPr>
  </w:style>
  <w:style w:type="paragraph" w:customStyle="1" w:styleId="29">
    <w:name w:val="正文1"/>
    <w:autoRedefine/>
    <w:qFormat/>
    <w:uiPriority w:val="0"/>
    <w:pPr>
      <w:jc w:val="both"/>
    </w:pPr>
    <w:rPr>
      <w:rFonts w:ascii="Times New Roman" w:hAnsi="Times New Roman" w:eastAsia="宋体" w:cs="Times New Roman"/>
      <w:sz w:val="21"/>
      <w:szCs w:val="24"/>
      <w:lang w:val="en-US" w:eastAsia="zh-CN" w:bidi="ar-SA"/>
    </w:rPr>
  </w:style>
  <w:style w:type="paragraph" w:customStyle="1" w:styleId="30">
    <w:name w:val="_Style 7"/>
    <w:basedOn w:val="3"/>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31">
    <w:name w:val="List Paragraph_40b67d30-6b8b-4697-8f49-97c11e174001"/>
    <w:basedOn w:val="1"/>
    <w:autoRedefine/>
    <w:qFormat/>
    <w:uiPriority w:val="0"/>
    <w:pPr>
      <w:widowControl w:val="0"/>
      <w:spacing w:line="240" w:lineRule="auto"/>
      <w:ind w:firstLine="420" w:firstLineChars="200"/>
    </w:pPr>
    <w:rPr>
      <w:rFonts w:ascii="Calibri" w:hAnsi="Calibri" w:eastAsia="宋体" w:cs="宋体"/>
      <w:kern w:val="2"/>
      <w:szCs w:val="22"/>
    </w:rPr>
  </w:style>
  <w:style w:type="paragraph" w:customStyle="1" w:styleId="32">
    <w:name w:val="Table Paragraph"/>
    <w:basedOn w:val="1"/>
    <w:autoRedefine/>
    <w:qFormat/>
    <w:uiPriority w:val="0"/>
    <w:pPr>
      <w:widowControl w:val="0"/>
      <w:spacing w:line="240" w:lineRule="auto"/>
    </w:pPr>
    <w:rPr>
      <w:rFonts w:ascii="Calibri" w:hAnsi="Calibri" w:eastAsia="宋体" w:cs="宋体"/>
      <w:kern w:val="2"/>
      <w:szCs w:val="22"/>
    </w:rPr>
  </w:style>
  <w:style w:type="character" w:customStyle="1" w:styleId="33">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34">
    <w:name w:val="PlainText"/>
    <w:basedOn w:val="1"/>
    <w:next w:val="35"/>
    <w:autoRedefine/>
    <w:qFormat/>
    <w:uiPriority w:val="0"/>
    <w:pPr>
      <w:jc w:val="both"/>
      <w:textAlignment w:val="baseline"/>
    </w:pPr>
    <w:rPr>
      <w:rFonts w:ascii="宋体" w:hAnsi="Courier New"/>
      <w:kern w:val="2"/>
      <w:sz w:val="21"/>
      <w:szCs w:val="20"/>
      <w:lang w:val="en-US" w:eastAsia="zh-CN" w:bidi="ar-SA"/>
    </w:rPr>
  </w:style>
  <w:style w:type="paragraph" w:customStyle="1" w:styleId="35">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36">
    <w:name w:val="正文_0_0"/>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7481</Words>
  <Characters>8162</Characters>
  <Lines>0</Lines>
  <Paragraphs>0</Paragraphs>
  <TotalTime>1</TotalTime>
  <ScaleCrop>false</ScaleCrop>
  <LinksUpToDate>false</LinksUpToDate>
  <CharactersWithSpaces>8264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H.小薇</cp:lastModifiedBy>
  <dcterms:modified xsi:type="dcterms:W3CDTF">2025-02-25T07:25:22Z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C46E23D5907F4839931766E12F3D7F63_13</vt:lpwstr>
  </property>
  <property fmtid="{D5CDD505-2E9C-101B-9397-08002B2CF9AE}" pid="4" name="KSOTemplateDocerSaveRecord">
    <vt:lpwstr>eyJoZGlkIjoiZDBlYzBkYTEwODIwYzhjZjA1MTAxNTFkOTI0NzUzNjkiLCJ1c2VySWQiOiIyMjgyNjQ3NTgifQ==</vt:lpwstr>
  </property>
</Properties>
</file>