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AC7F7">
      <w:pPr>
        <w:pStyle w:val="11"/>
        <w:spacing w:line="400" w:lineRule="exact"/>
        <w:jc w:val="center"/>
        <w:rPr>
          <w:rFonts w:ascii="Arial" w:hAnsi="Arial" w:eastAsia="楷体_GB2312" w:cs="Arial"/>
          <w:b/>
          <w:bCs/>
          <w:color w:val="auto"/>
          <w:sz w:val="56"/>
          <w:szCs w:val="72"/>
        </w:rPr>
      </w:pPr>
    </w:p>
    <w:p w14:paraId="27362294">
      <w:pPr>
        <w:pStyle w:val="11"/>
        <w:spacing w:line="400" w:lineRule="exact"/>
        <w:jc w:val="center"/>
        <w:rPr>
          <w:rFonts w:ascii="Arial" w:hAnsi="Arial" w:eastAsia="楷体_GB2312" w:cs="Arial"/>
          <w:b/>
          <w:bCs/>
          <w:color w:val="auto"/>
          <w:sz w:val="56"/>
          <w:szCs w:val="72"/>
        </w:rPr>
      </w:pPr>
    </w:p>
    <w:p w14:paraId="62D9450E">
      <w:pPr>
        <w:pStyle w:val="11"/>
        <w:spacing w:line="400" w:lineRule="exact"/>
        <w:jc w:val="center"/>
        <w:rPr>
          <w:rFonts w:ascii="Arial" w:hAnsi="Arial" w:eastAsia="楷体_GB2312" w:cs="Arial"/>
          <w:b/>
          <w:bCs/>
          <w:color w:val="auto"/>
          <w:sz w:val="56"/>
          <w:szCs w:val="72"/>
        </w:rPr>
      </w:pPr>
    </w:p>
    <w:p w14:paraId="443B1A41">
      <w:pPr>
        <w:pStyle w:val="11"/>
        <w:spacing w:line="400" w:lineRule="exact"/>
        <w:jc w:val="center"/>
        <w:rPr>
          <w:rFonts w:ascii="Arial" w:hAnsi="Arial" w:eastAsia="楷体_GB2312" w:cs="Arial"/>
          <w:b/>
          <w:bCs/>
          <w:color w:val="auto"/>
          <w:sz w:val="56"/>
          <w:szCs w:val="72"/>
        </w:rPr>
      </w:pPr>
    </w:p>
    <w:p w14:paraId="2A6B063B">
      <w:pPr>
        <w:pStyle w:val="11"/>
        <w:spacing w:line="400" w:lineRule="exact"/>
        <w:jc w:val="center"/>
        <w:rPr>
          <w:rFonts w:ascii="Arial" w:hAnsi="Arial" w:eastAsia="楷体_GB2312" w:cs="Arial"/>
          <w:b/>
          <w:bCs/>
          <w:color w:val="auto"/>
          <w:sz w:val="56"/>
          <w:szCs w:val="72"/>
        </w:rPr>
      </w:pPr>
    </w:p>
    <w:p w14:paraId="66DADE5F">
      <w:pPr>
        <w:pStyle w:val="11"/>
        <w:spacing w:line="480" w:lineRule="exact"/>
        <w:jc w:val="center"/>
        <w:rPr>
          <w:rFonts w:ascii="Arial" w:hAnsi="Arial" w:eastAsia="楷体_GB2312" w:cs="Arial"/>
          <w:b/>
          <w:bCs/>
          <w:color w:val="auto"/>
          <w:sz w:val="56"/>
          <w:szCs w:val="72"/>
        </w:rPr>
      </w:pPr>
    </w:p>
    <w:p w14:paraId="7591D3A7">
      <w:pPr>
        <w:pStyle w:val="11"/>
        <w:spacing w:line="480" w:lineRule="exact"/>
        <w:jc w:val="center"/>
        <w:rPr>
          <w:rFonts w:hAnsi="宋体" w:cs="宋体"/>
          <w:b/>
          <w:bCs/>
          <w:color w:val="auto"/>
          <w:sz w:val="48"/>
          <w:szCs w:val="48"/>
        </w:rPr>
      </w:pPr>
      <w:r>
        <w:rPr>
          <w:rFonts w:hint="eastAsia" w:hAnsi="宋体" w:cs="宋体"/>
          <w:b/>
          <w:bCs/>
          <w:color w:val="auto"/>
          <w:sz w:val="48"/>
          <w:szCs w:val="48"/>
        </w:rPr>
        <w:t>桂林市人民医院</w:t>
      </w:r>
    </w:p>
    <w:p w14:paraId="76719225">
      <w:pPr>
        <w:pStyle w:val="11"/>
        <w:spacing w:line="480" w:lineRule="exact"/>
        <w:jc w:val="center"/>
        <w:rPr>
          <w:rFonts w:hAnsi="宋体" w:cs="宋体"/>
          <w:b/>
          <w:bCs/>
          <w:color w:val="auto"/>
          <w:sz w:val="48"/>
          <w:szCs w:val="48"/>
        </w:rPr>
      </w:pPr>
      <w:r>
        <w:rPr>
          <w:rFonts w:hint="eastAsia" w:hAnsi="宋体" w:cs="宋体"/>
          <w:b/>
          <w:bCs/>
          <w:color w:val="auto"/>
          <w:sz w:val="48"/>
          <w:szCs w:val="48"/>
        </w:rPr>
        <w:t>网络综合布线采购招标文件</w:t>
      </w:r>
    </w:p>
    <w:p w14:paraId="7E00859B">
      <w:pPr>
        <w:pStyle w:val="11"/>
        <w:spacing w:line="400" w:lineRule="exact"/>
        <w:jc w:val="center"/>
        <w:rPr>
          <w:rFonts w:ascii="Arial" w:hAnsi="Arial" w:eastAsia="楷体_GB2312" w:cs="Arial"/>
          <w:b/>
          <w:bCs/>
          <w:color w:val="auto"/>
          <w:sz w:val="24"/>
          <w:szCs w:val="24"/>
        </w:rPr>
      </w:pPr>
    </w:p>
    <w:p w14:paraId="7512885C">
      <w:pPr>
        <w:pStyle w:val="11"/>
        <w:spacing w:line="400" w:lineRule="exact"/>
        <w:ind w:firstLine="2695"/>
        <w:rPr>
          <w:rFonts w:ascii="Arial" w:hAnsi="Arial" w:cs="Arial"/>
          <w:color w:val="auto"/>
          <w:sz w:val="24"/>
          <w:szCs w:val="24"/>
        </w:rPr>
      </w:pPr>
    </w:p>
    <w:p w14:paraId="630637C4">
      <w:pPr>
        <w:pStyle w:val="11"/>
        <w:spacing w:line="400" w:lineRule="exact"/>
        <w:ind w:firstLine="2695"/>
        <w:rPr>
          <w:rFonts w:ascii="Arial" w:hAnsi="Arial" w:cs="Arial"/>
          <w:color w:val="auto"/>
          <w:sz w:val="28"/>
        </w:rPr>
      </w:pPr>
      <w:r>
        <w:rPr>
          <w:rFonts w:ascii="Arial" w:hAnsi="Arial" w:cs="Arial"/>
          <w:color w:val="auto"/>
          <w:sz w:val="28"/>
        </w:rPr>
        <w:cr/>
      </w:r>
    </w:p>
    <w:p w14:paraId="00964E45">
      <w:pPr>
        <w:pStyle w:val="11"/>
        <w:spacing w:line="400" w:lineRule="exact"/>
        <w:ind w:firstLine="2695"/>
        <w:rPr>
          <w:rFonts w:ascii="Arial" w:hAnsi="Arial" w:cs="Arial"/>
          <w:color w:val="auto"/>
          <w:sz w:val="28"/>
        </w:rPr>
      </w:pPr>
    </w:p>
    <w:p w14:paraId="21456E68">
      <w:pPr>
        <w:pStyle w:val="11"/>
        <w:spacing w:line="400" w:lineRule="exact"/>
        <w:ind w:firstLine="2695"/>
        <w:rPr>
          <w:rFonts w:ascii="Arial" w:hAnsi="Arial" w:cs="Arial"/>
          <w:color w:val="auto"/>
          <w:sz w:val="28"/>
        </w:rPr>
      </w:pPr>
    </w:p>
    <w:p w14:paraId="7FA94E3E">
      <w:pPr>
        <w:pStyle w:val="11"/>
        <w:spacing w:line="400" w:lineRule="exact"/>
        <w:ind w:firstLine="2695"/>
        <w:rPr>
          <w:rFonts w:ascii="Arial" w:hAnsi="Arial" w:cs="Arial"/>
          <w:color w:val="auto"/>
          <w:sz w:val="28"/>
        </w:rPr>
      </w:pPr>
    </w:p>
    <w:p w14:paraId="1D2B8A4A">
      <w:pPr>
        <w:pStyle w:val="11"/>
        <w:spacing w:line="400" w:lineRule="exact"/>
        <w:ind w:firstLine="2695"/>
        <w:rPr>
          <w:rFonts w:ascii="Arial" w:hAnsi="Arial" w:cs="Arial"/>
          <w:color w:val="auto"/>
          <w:sz w:val="28"/>
        </w:rPr>
      </w:pPr>
    </w:p>
    <w:p w14:paraId="2A64E804">
      <w:pPr>
        <w:pStyle w:val="11"/>
        <w:spacing w:line="400" w:lineRule="exact"/>
        <w:ind w:firstLine="2695"/>
        <w:rPr>
          <w:rFonts w:ascii="Arial" w:hAnsi="Arial" w:cs="Arial"/>
          <w:color w:val="auto"/>
          <w:sz w:val="28"/>
        </w:rPr>
      </w:pPr>
    </w:p>
    <w:p w14:paraId="7C259E97">
      <w:pPr>
        <w:pStyle w:val="11"/>
        <w:spacing w:line="400" w:lineRule="exact"/>
        <w:rPr>
          <w:rFonts w:ascii="Arial" w:hAnsi="Arial" w:cs="Arial"/>
          <w:color w:val="auto"/>
          <w:sz w:val="28"/>
        </w:rPr>
      </w:pPr>
    </w:p>
    <w:p w14:paraId="4A420F73">
      <w:pPr>
        <w:pStyle w:val="11"/>
        <w:spacing w:line="400" w:lineRule="exact"/>
        <w:rPr>
          <w:rFonts w:ascii="Arial" w:hAnsi="Arial" w:cs="Arial"/>
          <w:color w:val="auto"/>
          <w:sz w:val="28"/>
        </w:rPr>
      </w:pPr>
    </w:p>
    <w:p w14:paraId="63578DB6">
      <w:pPr>
        <w:pStyle w:val="4"/>
        <w:spacing w:line="400" w:lineRule="exact"/>
        <w:rPr>
          <w:rFonts w:ascii="Arial" w:hAnsi="Arial" w:cs="Arial"/>
          <w:color w:val="auto"/>
          <w:sz w:val="28"/>
        </w:rPr>
      </w:pPr>
    </w:p>
    <w:p w14:paraId="30E45E47">
      <w:pPr>
        <w:spacing w:line="400" w:lineRule="exact"/>
        <w:rPr>
          <w:rFonts w:ascii="Arial" w:hAnsi="Arial" w:cs="Arial"/>
          <w:color w:val="auto"/>
          <w:sz w:val="28"/>
        </w:rPr>
      </w:pPr>
    </w:p>
    <w:p w14:paraId="4401977E">
      <w:pPr>
        <w:spacing w:line="400" w:lineRule="exact"/>
        <w:rPr>
          <w:rFonts w:ascii="Arial" w:hAnsi="Arial" w:cs="Arial"/>
          <w:color w:val="auto"/>
          <w:sz w:val="28"/>
        </w:rPr>
      </w:pPr>
    </w:p>
    <w:p w14:paraId="0C1DA47A">
      <w:pPr>
        <w:spacing w:line="400" w:lineRule="exact"/>
        <w:rPr>
          <w:color w:val="auto"/>
        </w:rPr>
      </w:pPr>
    </w:p>
    <w:p w14:paraId="683B9EC8">
      <w:pPr>
        <w:spacing w:line="400" w:lineRule="exact"/>
        <w:rPr>
          <w:rFonts w:ascii="Arial" w:hAnsi="Arial" w:cs="Arial"/>
          <w:color w:val="auto"/>
          <w:sz w:val="28"/>
        </w:rPr>
      </w:pPr>
    </w:p>
    <w:p w14:paraId="52473CEA">
      <w:pPr>
        <w:pStyle w:val="11"/>
        <w:spacing w:line="400" w:lineRule="exact"/>
        <w:rPr>
          <w:rFonts w:ascii="Arial" w:hAnsi="Arial" w:cs="Arial"/>
          <w:color w:val="auto"/>
          <w:sz w:val="28"/>
        </w:rPr>
      </w:pPr>
    </w:p>
    <w:p w14:paraId="11F8CA2E">
      <w:pPr>
        <w:pStyle w:val="11"/>
        <w:spacing w:line="400" w:lineRule="exact"/>
        <w:jc w:val="center"/>
        <w:rPr>
          <w:rFonts w:hAnsi="宋体" w:cs="宋体"/>
          <w:b/>
          <w:bCs/>
          <w:color w:val="auto"/>
          <w:sz w:val="36"/>
          <w:szCs w:val="36"/>
        </w:rPr>
      </w:pPr>
      <w:r>
        <w:rPr>
          <w:rFonts w:hint="eastAsia" w:hAnsi="宋体" w:cs="宋体"/>
          <w:b/>
          <w:bCs/>
          <w:color w:val="auto"/>
          <w:sz w:val="36"/>
          <w:szCs w:val="36"/>
        </w:rPr>
        <w:t>2025年6月</w:t>
      </w:r>
    </w:p>
    <w:p w14:paraId="10711324">
      <w:pPr>
        <w:pStyle w:val="11"/>
        <w:spacing w:line="400" w:lineRule="exact"/>
        <w:jc w:val="center"/>
        <w:rPr>
          <w:rFonts w:hAnsi="宋体" w:cs="宋体"/>
          <w:b/>
          <w:bCs/>
          <w:color w:val="auto"/>
          <w:sz w:val="36"/>
          <w:szCs w:val="36"/>
        </w:rPr>
      </w:pPr>
    </w:p>
    <w:p w14:paraId="5CF80A0B">
      <w:pPr>
        <w:pStyle w:val="11"/>
        <w:spacing w:line="400" w:lineRule="exact"/>
        <w:rPr>
          <w:rFonts w:hAnsi="宋体" w:cs="宋体"/>
          <w:b/>
          <w:bCs/>
          <w:color w:val="auto"/>
          <w:sz w:val="36"/>
          <w:szCs w:val="36"/>
        </w:rPr>
      </w:pPr>
    </w:p>
    <w:p w14:paraId="32A62A27">
      <w:pPr>
        <w:pStyle w:val="11"/>
        <w:spacing w:line="400" w:lineRule="exact"/>
        <w:rPr>
          <w:rFonts w:hAnsi="宋体" w:cs="宋体"/>
          <w:b/>
          <w:bCs/>
          <w:color w:val="auto"/>
          <w:sz w:val="36"/>
          <w:szCs w:val="36"/>
        </w:rPr>
      </w:pPr>
    </w:p>
    <w:p w14:paraId="2BABF20F">
      <w:pPr>
        <w:pStyle w:val="11"/>
        <w:spacing w:line="400" w:lineRule="exact"/>
        <w:rPr>
          <w:rFonts w:hAnsi="宋体" w:cs="宋体"/>
          <w:b/>
          <w:bCs/>
          <w:color w:val="auto"/>
          <w:sz w:val="36"/>
          <w:szCs w:val="36"/>
        </w:rPr>
      </w:pPr>
    </w:p>
    <w:p w14:paraId="7E7205C2">
      <w:pPr>
        <w:pStyle w:val="11"/>
        <w:spacing w:line="400" w:lineRule="exact"/>
        <w:rPr>
          <w:rFonts w:hAnsi="宋体" w:cs="宋体"/>
          <w:b/>
          <w:bCs/>
          <w:color w:val="auto"/>
          <w:sz w:val="36"/>
          <w:szCs w:val="36"/>
        </w:rPr>
      </w:pPr>
    </w:p>
    <w:p w14:paraId="7753DB49">
      <w:pPr>
        <w:pStyle w:val="11"/>
        <w:spacing w:line="400" w:lineRule="exact"/>
        <w:rPr>
          <w:rFonts w:hAnsi="宋体" w:cs="宋体"/>
          <w:b/>
          <w:bCs/>
          <w:color w:val="auto"/>
          <w:sz w:val="36"/>
          <w:szCs w:val="36"/>
        </w:rPr>
      </w:pPr>
    </w:p>
    <w:p w14:paraId="67106A71">
      <w:pPr>
        <w:pStyle w:val="20"/>
        <w:spacing w:before="0" w:line="400" w:lineRule="exact"/>
        <w:ind w:left="0"/>
        <w:jc w:val="center"/>
        <w:rPr>
          <w:rFonts w:ascii="Arial" w:hAnsi="宋体" w:eastAsia="宋体" w:cs="Arial"/>
          <w:b/>
          <w:bCs/>
          <w:color w:val="auto"/>
          <w:sz w:val="44"/>
          <w:szCs w:val="44"/>
          <w:lang w:val="zh-CN"/>
        </w:rPr>
      </w:pPr>
    </w:p>
    <w:p w14:paraId="7BD052AE">
      <w:pPr>
        <w:pStyle w:val="20"/>
        <w:spacing w:before="0" w:line="400" w:lineRule="exact"/>
        <w:ind w:left="0"/>
        <w:jc w:val="center"/>
        <w:rPr>
          <w:rFonts w:ascii="Arial" w:hAnsi="宋体" w:eastAsia="宋体" w:cs="Arial"/>
          <w:b/>
          <w:bCs/>
          <w:color w:val="auto"/>
          <w:sz w:val="44"/>
          <w:szCs w:val="44"/>
          <w:lang w:val="zh-CN"/>
        </w:rPr>
      </w:pPr>
    </w:p>
    <w:p w14:paraId="0200D10E">
      <w:pPr>
        <w:pStyle w:val="20"/>
        <w:spacing w:before="0" w:line="400" w:lineRule="exact"/>
        <w:ind w:left="0"/>
        <w:jc w:val="center"/>
        <w:rPr>
          <w:rFonts w:ascii="Arial" w:hAnsi="宋体" w:eastAsia="宋体" w:cs="Arial"/>
          <w:b/>
          <w:bCs/>
          <w:color w:val="auto"/>
          <w:sz w:val="44"/>
          <w:szCs w:val="44"/>
          <w:lang w:val="zh-CN"/>
        </w:rPr>
      </w:pPr>
    </w:p>
    <w:p w14:paraId="7460B2AA">
      <w:pPr>
        <w:pStyle w:val="20"/>
        <w:spacing w:before="0" w:line="460" w:lineRule="exact"/>
        <w:ind w:left="0"/>
        <w:jc w:val="center"/>
        <w:rPr>
          <w:rFonts w:ascii="Arial" w:hAnsi="宋体" w:eastAsia="宋体" w:cs="Arial"/>
          <w:b/>
          <w:bCs/>
          <w:color w:val="auto"/>
          <w:sz w:val="44"/>
          <w:szCs w:val="44"/>
          <w:lang w:val="zh-CN"/>
        </w:rPr>
      </w:pPr>
      <w:r>
        <w:rPr>
          <w:rFonts w:ascii="Arial" w:hAnsi="宋体" w:eastAsia="宋体" w:cs="Arial"/>
          <w:b/>
          <w:bCs/>
          <w:color w:val="auto"/>
          <w:sz w:val="44"/>
          <w:szCs w:val="44"/>
          <w:lang w:val="zh-CN"/>
        </w:rPr>
        <w:t>目录</w:t>
      </w:r>
    </w:p>
    <w:p w14:paraId="3CB326E3">
      <w:pPr>
        <w:spacing w:line="400" w:lineRule="exact"/>
        <w:rPr>
          <w:color w:val="auto"/>
        </w:rPr>
      </w:pPr>
    </w:p>
    <w:p w14:paraId="3FE79813">
      <w:pPr>
        <w:pStyle w:val="10"/>
        <w:tabs>
          <w:tab w:val="right" w:leader="dot" w:pos="9628"/>
        </w:tabs>
        <w:spacing w:line="400" w:lineRule="exact"/>
        <w:ind w:left="0" w:leftChars="0"/>
        <w:rPr>
          <w:rFonts w:ascii="Arial" w:hAnsi="Arial" w:cs="Arial"/>
          <w:color w:val="auto"/>
          <w:sz w:val="24"/>
        </w:rPr>
      </w:pPr>
      <w:r>
        <w:rPr>
          <w:rFonts w:ascii="Arial" w:hAnsi="Arial" w:cs="Arial"/>
          <w:color w:val="auto"/>
        </w:rPr>
        <w:fldChar w:fldCharType="begin"/>
      </w:r>
      <w:r>
        <w:rPr>
          <w:rFonts w:ascii="Arial" w:hAnsi="Arial" w:cs="Arial"/>
          <w:color w:val="auto"/>
        </w:rPr>
        <w:instrText xml:space="preserve"> TOC \o "1-3" \h \z \u </w:instrText>
      </w:r>
      <w:r>
        <w:rPr>
          <w:rFonts w:ascii="Arial" w:hAnsi="Arial" w:cs="Arial"/>
          <w:color w:val="auto"/>
        </w:rPr>
        <w:fldChar w:fldCharType="separate"/>
      </w:r>
      <w:r>
        <w:rPr>
          <w:color w:val="auto"/>
        </w:rPr>
        <w:fldChar w:fldCharType="begin"/>
      </w:r>
      <w:r>
        <w:rPr>
          <w:color w:val="auto"/>
        </w:rPr>
        <w:instrText xml:space="preserve"> HYPERLINK \l "_Toc33820534" </w:instrText>
      </w:r>
      <w:r>
        <w:rPr>
          <w:color w:val="auto"/>
        </w:rPr>
        <w:fldChar w:fldCharType="separate"/>
      </w:r>
      <w:r>
        <w:rPr>
          <w:rStyle w:val="18"/>
          <w:rFonts w:ascii="Arial" w:cs="Arial"/>
          <w:color w:val="auto"/>
          <w:sz w:val="24"/>
        </w:rPr>
        <w:t>第一章</w:t>
      </w:r>
      <w:r>
        <w:rPr>
          <w:rStyle w:val="18"/>
          <w:rFonts w:hint="eastAsia" w:ascii="Arial" w:cs="Arial"/>
          <w:color w:val="auto"/>
          <w:sz w:val="24"/>
        </w:rPr>
        <w:t xml:space="preserve">  招标</w:t>
      </w:r>
      <w:r>
        <w:rPr>
          <w:rStyle w:val="18"/>
          <w:rFonts w:ascii="Arial" w:cs="Arial"/>
          <w:color w:val="auto"/>
          <w:sz w:val="24"/>
        </w:rPr>
        <w:t>公告</w:t>
      </w:r>
      <w:r>
        <w:rPr>
          <w:rFonts w:ascii="Arial" w:hAnsi="Arial" w:cs="Arial"/>
          <w:color w:val="auto"/>
          <w:sz w:val="24"/>
        </w:rPr>
        <w:tab/>
      </w:r>
      <w:r>
        <w:rPr>
          <w:rFonts w:hint="eastAsia" w:ascii="Arial" w:hAnsi="Arial" w:cs="Arial"/>
          <w:color w:val="auto"/>
          <w:sz w:val="24"/>
        </w:rPr>
        <w:t>3</w:t>
      </w:r>
      <w:r>
        <w:rPr>
          <w:rFonts w:hint="eastAsia" w:ascii="Arial" w:hAnsi="Arial" w:cs="Arial"/>
          <w:color w:val="auto"/>
          <w:sz w:val="24"/>
        </w:rPr>
        <w:fldChar w:fldCharType="end"/>
      </w:r>
    </w:p>
    <w:p w14:paraId="32C1E0ED">
      <w:pPr>
        <w:pStyle w:val="10"/>
        <w:tabs>
          <w:tab w:val="right" w:leader="dot" w:pos="9628"/>
        </w:tabs>
        <w:spacing w:line="400" w:lineRule="exact"/>
        <w:ind w:left="0" w:leftChars="0"/>
        <w:rPr>
          <w:color w:val="auto"/>
        </w:rPr>
      </w:pPr>
      <w:r>
        <w:rPr>
          <w:color w:val="auto"/>
        </w:rPr>
        <w:fldChar w:fldCharType="begin"/>
      </w:r>
      <w:r>
        <w:rPr>
          <w:color w:val="auto"/>
        </w:rPr>
        <w:instrText xml:space="preserve"> HYPERLINK \l "_Toc33820536" </w:instrText>
      </w:r>
      <w:r>
        <w:rPr>
          <w:color w:val="auto"/>
        </w:rPr>
        <w:fldChar w:fldCharType="separate"/>
      </w:r>
      <w:r>
        <w:rPr>
          <w:rStyle w:val="18"/>
          <w:rFonts w:ascii="Arial" w:cs="Arial"/>
          <w:color w:val="auto"/>
          <w:sz w:val="24"/>
        </w:rPr>
        <w:t>第</w:t>
      </w:r>
      <w:r>
        <w:rPr>
          <w:rStyle w:val="18"/>
          <w:rFonts w:hint="eastAsia" w:ascii="Arial" w:cs="Arial"/>
          <w:color w:val="auto"/>
          <w:sz w:val="24"/>
        </w:rPr>
        <w:t>二</w:t>
      </w:r>
      <w:r>
        <w:rPr>
          <w:rStyle w:val="18"/>
          <w:rFonts w:ascii="Arial" w:cs="Arial"/>
          <w:color w:val="auto"/>
          <w:sz w:val="24"/>
        </w:rPr>
        <w:t>章</w:t>
      </w:r>
      <w:r>
        <w:rPr>
          <w:rStyle w:val="18"/>
          <w:rFonts w:hint="eastAsia" w:ascii="Arial" w:cs="Arial"/>
          <w:color w:val="auto"/>
          <w:sz w:val="24"/>
        </w:rPr>
        <w:t xml:space="preserve">  </w:t>
      </w:r>
      <w:r>
        <w:rPr>
          <w:rStyle w:val="18"/>
          <w:rFonts w:ascii="Arial" w:cs="Arial"/>
          <w:color w:val="auto"/>
          <w:sz w:val="24"/>
        </w:rPr>
        <w:t>项目需求和说明</w:t>
      </w:r>
      <w:r>
        <w:rPr>
          <w:rFonts w:ascii="Arial" w:hAnsi="Arial" w:cs="Arial"/>
          <w:color w:val="auto"/>
          <w:sz w:val="24"/>
        </w:rPr>
        <w:tab/>
      </w:r>
      <w:r>
        <w:rPr>
          <w:rFonts w:hint="eastAsia" w:ascii="Arial" w:hAnsi="Arial" w:cs="Arial"/>
          <w:color w:val="auto"/>
          <w:sz w:val="24"/>
        </w:rPr>
        <w:t>5</w:t>
      </w:r>
      <w:r>
        <w:rPr>
          <w:rFonts w:hint="eastAsia" w:ascii="Arial" w:hAnsi="Arial" w:cs="Arial"/>
          <w:color w:val="auto"/>
          <w:sz w:val="24"/>
        </w:rPr>
        <w:fldChar w:fldCharType="end"/>
      </w:r>
    </w:p>
    <w:p w14:paraId="52DEBDA3">
      <w:pPr>
        <w:pStyle w:val="10"/>
        <w:tabs>
          <w:tab w:val="right" w:leader="dot" w:pos="9628"/>
        </w:tabs>
        <w:spacing w:line="400" w:lineRule="exact"/>
        <w:ind w:left="0" w:leftChars="0"/>
        <w:rPr>
          <w:rFonts w:hint="default" w:ascii="Arial" w:hAnsi="Arial" w:eastAsia="宋体" w:cs="Arial"/>
          <w:color w:val="auto"/>
          <w:sz w:val="24"/>
          <w:lang w:val="en-US" w:eastAsia="zh-CN"/>
        </w:rPr>
      </w:pPr>
      <w:r>
        <w:rPr>
          <w:color w:val="auto"/>
        </w:rPr>
        <w:fldChar w:fldCharType="begin"/>
      </w:r>
      <w:r>
        <w:rPr>
          <w:color w:val="auto"/>
        </w:rPr>
        <w:instrText xml:space="preserve"> HYPERLINK \l "_Toc33820536" </w:instrText>
      </w:r>
      <w:r>
        <w:rPr>
          <w:color w:val="auto"/>
        </w:rPr>
        <w:fldChar w:fldCharType="separate"/>
      </w:r>
      <w:r>
        <w:rPr>
          <w:rFonts w:hint="eastAsia"/>
          <w:color w:val="auto"/>
          <w:sz w:val="24"/>
        </w:rPr>
        <w:t>第三章  评标办法</w:t>
      </w:r>
      <w:r>
        <w:rPr>
          <w:rFonts w:ascii="Arial" w:hAnsi="Arial" w:cs="Arial"/>
          <w:color w:val="auto"/>
          <w:sz w:val="24"/>
        </w:rPr>
        <w:tab/>
      </w:r>
      <w:r>
        <w:rPr>
          <w:rFonts w:ascii="Arial" w:hAnsi="Arial" w:cs="Arial"/>
          <w:color w:val="auto"/>
          <w:sz w:val="24"/>
        </w:rPr>
        <w:fldChar w:fldCharType="end"/>
      </w:r>
      <w:r>
        <w:rPr>
          <w:rFonts w:hint="eastAsia" w:ascii="Arial" w:hAnsi="Arial" w:cs="Arial"/>
          <w:color w:val="auto"/>
          <w:sz w:val="24"/>
          <w:lang w:val="en-US" w:eastAsia="zh-CN"/>
        </w:rPr>
        <w:t>23</w:t>
      </w:r>
    </w:p>
    <w:p w14:paraId="461DF260">
      <w:pPr>
        <w:pStyle w:val="10"/>
        <w:tabs>
          <w:tab w:val="right" w:leader="dot" w:pos="9628"/>
        </w:tabs>
        <w:spacing w:line="400" w:lineRule="exact"/>
        <w:ind w:left="0" w:leftChars="0"/>
        <w:rPr>
          <w:rFonts w:hint="default" w:ascii="Arial" w:hAnsi="Arial" w:eastAsia="宋体" w:cs="Arial"/>
          <w:color w:val="auto"/>
          <w:sz w:val="24"/>
          <w:lang w:val="en-US" w:eastAsia="zh-CN"/>
        </w:rPr>
      </w:pPr>
      <w:r>
        <w:rPr>
          <w:rFonts w:hint="eastAsia" w:ascii="Arial" w:hAnsi="Arial" w:cs="Arial"/>
          <w:color w:val="auto"/>
          <w:sz w:val="24"/>
        </w:rPr>
        <w:t>第四章  招标文件格式</w:t>
      </w:r>
      <w:r>
        <w:rPr>
          <w:rFonts w:ascii="Arial" w:hAnsi="Arial" w:cs="Arial"/>
          <w:color w:val="auto"/>
          <w:sz w:val="24"/>
        </w:rPr>
        <w:tab/>
      </w:r>
      <w:r>
        <w:rPr>
          <w:rFonts w:ascii="Arial" w:hAnsi="Arial" w:cs="Arial"/>
          <w:color w:val="auto"/>
          <w:sz w:val="24"/>
        </w:rPr>
        <w:t>……………………………………………………………………………</w:t>
      </w:r>
      <w:r>
        <w:rPr>
          <w:rFonts w:hint="eastAsia" w:ascii="Arial" w:hAnsi="Arial" w:cs="Arial"/>
          <w:color w:val="auto"/>
          <w:sz w:val="24"/>
          <w:lang w:val="en-US" w:eastAsia="zh-CN"/>
        </w:rPr>
        <w:t>24</w:t>
      </w:r>
    </w:p>
    <w:p w14:paraId="05E836C1">
      <w:pPr>
        <w:spacing w:line="400" w:lineRule="exact"/>
        <w:rPr>
          <w:color w:val="auto"/>
        </w:rPr>
      </w:pPr>
    </w:p>
    <w:p w14:paraId="3889307A">
      <w:pPr>
        <w:spacing w:line="400" w:lineRule="exact"/>
        <w:jc w:val="center"/>
        <w:rPr>
          <w:rFonts w:ascii="Arial" w:hAnsi="Arial" w:cs="Arial"/>
          <w:b/>
          <w:bCs/>
          <w:color w:val="auto"/>
          <w:lang w:val="zh-CN"/>
        </w:rPr>
      </w:pPr>
      <w:r>
        <w:rPr>
          <w:rFonts w:ascii="Arial" w:hAnsi="Arial" w:cs="Arial"/>
          <w:b/>
          <w:bCs/>
          <w:color w:val="auto"/>
          <w:lang w:val="zh-CN"/>
        </w:rPr>
        <w:fldChar w:fldCharType="end"/>
      </w:r>
    </w:p>
    <w:p w14:paraId="0215922A">
      <w:pPr>
        <w:spacing w:line="400" w:lineRule="exact"/>
        <w:jc w:val="center"/>
        <w:rPr>
          <w:rFonts w:ascii="宋体" w:hAnsi="宋体" w:cs="宋体"/>
          <w:b/>
          <w:bCs/>
          <w:color w:val="auto"/>
          <w:sz w:val="32"/>
          <w:szCs w:val="32"/>
        </w:rPr>
        <w:sectPr>
          <w:footerReference r:id="rId3" w:type="default"/>
          <w:pgSz w:w="11906" w:h="16838"/>
          <w:pgMar w:top="1440" w:right="1080" w:bottom="1440" w:left="1080" w:header="851" w:footer="992" w:gutter="0"/>
          <w:cols w:space="425" w:num="1"/>
          <w:docGrid w:type="lines" w:linePitch="312" w:charSpace="0"/>
        </w:sectPr>
      </w:pPr>
    </w:p>
    <w:p w14:paraId="10950092">
      <w:pPr>
        <w:pStyle w:val="2"/>
        <w:spacing w:line="400" w:lineRule="exact"/>
        <w:jc w:val="center"/>
        <w:rPr>
          <w:color w:val="auto"/>
          <w:sz w:val="32"/>
          <w:szCs w:val="32"/>
        </w:rPr>
      </w:pPr>
      <w:r>
        <w:rPr>
          <w:rFonts w:hint="eastAsia"/>
          <w:color w:val="auto"/>
          <w:sz w:val="32"/>
          <w:szCs w:val="32"/>
        </w:rPr>
        <w:t>第一章  招标公告</w:t>
      </w:r>
    </w:p>
    <w:p w14:paraId="3F439411">
      <w:pPr>
        <w:spacing w:line="400" w:lineRule="exact"/>
        <w:ind w:firstLine="480" w:firstLineChars="200"/>
        <w:rPr>
          <w:rFonts w:ascii="宋体" w:hAnsi="宋体" w:cs="宋体"/>
          <w:color w:val="auto"/>
          <w:sz w:val="24"/>
        </w:rPr>
      </w:pPr>
    </w:p>
    <w:p w14:paraId="1E943568">
      <w:pPr>
        <w:spacing w:line="400" w:lineRule="exact"/>
        <w:ind w:firstLine="480" w:firstLineChars="200"/>
        <w:rPr>
          <w:rFonts w:ascii="宋体" w:hAnsi="宋体" w:cs="宋体"/>
          <w:color w:val="auto"/>
          <w:sz w:val="24"/>
        </w:rPr>
      </w:pPr>
      <w:r>
        <w:rPr>
          <w:rFonts w:hint="eastAsia" w:ascii="宋体" w:hAnsi="宋体" w:cs="宋体"/>
          <w:color w:val="auto"/>
          <w:sz w:val="24"/>
        </w:rPr>
        <w:t>现有桂林市人民医院</w:t>
      </w:r>
      <w:r>
        <w:rPr>
          <w:rFonts w:hint="eastAsia" w:ascii="宋体" w:hAnsi="宋体" w:cs="宋体"/>
          <w:bCs/>
          <w:color w:val="auto"/>
          <w:sz w:val="24"/>
        </w:rPr>
        <w:t>网络综合布线采购</w:t>
      </w:r>
      <w:r>
        <w:rPr>
          <w:rFonts w:hint="eastAsia" w:ascii="宋体" w:hAnsi="宋体" w:cs="宋体"/>
          <w:color w:val="auto"/>
          <w:sz w:val="24"/>
        </w:rPr>
        <w:t>项目，为确保质优价廉，决定通过院内公开招标确定供应商，现将有关内容公告如下：</w:t>
      </w:r>
    </w:p>
    <w:p w14:paraId="36D19978">
      <w:pPr>
        <w:spacing w:line="400" w:lineRule="exact"/>
        <w:ind w:firstLine="482" w:firstLineChars="200"/>
        <w:rPr>
          <w:rFonts w:ascii="宋体" w:hAnsi="宋体" w:cs="宋体"/>
          <w:b/>
          <w:bCs/>
          <w:color w:val="auto"/>
          <w:sz w:val="24"/>
        </w:rPr>
      </w:pPr>
      <w:r>
        <w:rPr>
          <w:rFonts w:hint="eastAsia" w:ascii="宋体" w:hAnsi="宋体" w:cs="宋体"/>
          <w:b/>
          <w:bCs/>
          <w:color w:val="auto"/>
          <w:sz w:val="24"/>
        </w:rPr>
        <w:t>一、项目基本情况：</w:t>
      </w:r>
    </w:p>
    <w:p w14:paraId="21F95D66">
      <w:pPr>
        <w:spacing w:line="400" w:lineRule="exact"/>
        <w:ind w:firstLine="482" w:firstLineChars="200"/>
        <w:rPr>
          <w:rFonts w:ascii="宋体" w:hAnsi="宋体" w:cs="宋体"/>
          <w:color w:val="auto"/>
          <w:sz w:val="24"/>
        </w:rPr>
      </w:pPr>
      <w:r>
        <w:rPr>
          <w:rFonts w:hint="eastAsia" w:ascii="宋体" w:hAnsi="宋体" w:cs="宋体"/>
          <w:b/>
          <w:bCs/>
          <w:color w:val="auto"/>
          <w:sz w:val="24"/>
        </w:rPr>
        <w:t>（一）项目名称：</w:t>
      </w:r>
      <w:r>
        <w:rPr>
          <w:rFonts w:hint="eastAsia" w:ascii="宋体" w:hAnsi="宋体" w:cs="宋体"/>
          <w:color w:val="auto"/>
          <w:sz w:val="24"/>
        </w:rPr>
        <w:t>桂林市人民医院</w:t>
      </w:r>
      <w:r>
        <w:rPr>
          <w:rFonts w:hint="eastAsia" w:ascii="宋体" w:hAnsi="宋体" w:cs="宋体"/>
          <w:bCs/>
          <w:color w:val="auto"/>
          <w:sz w:val="24"/>
        </w:rPr>
        <w:t>网络综合布线采购</w:t>
      </w:r>
    </w:p>
    <w:p w14:paraId="7680CC7F">
      <w:pPr>
        <w:spacing w:line="400" w:lineRule="exact"/>
        <w:ind w:firstLine="482" w:firstLineChars="200"/>
        <w:rPr>
          <w:rFonts w:ascii="宋体" w:hAnsi="宋体" w:cs="宋体"/>
          <w:color w:val="auto"/>
          <w:sz w:val="24"/>
        </w:rPr>
      </w:pPr>
      <w:r>
        <w:rPr>
          <w:rFonts w:hint="eastAsia" w:ascii="宋体" w:hAnsi="宋体" w:cs="宋体"/>
          <w:b/>
          <w:bCs/>
          <w:color w:val="auto"/>
          <w:sz w:val="24"/>
        </w:rPr>
        <w:t>（二）项目编号：</w:t>
      </w:r>
      <w:r>
        <w:rPr>
          <w:rFonts w:hint="eastAsia" w:ascii="宋体" w:hAnsi="宋体" w:cs="宋体"/>
          <w:color w:val="auto"/>
          <w:sz w:val="24"/>
        </w:rPr>
        <w:t>XXK-2025-011</w:t>
      </w:r>
    </w:p>
    <w:p w14:paraId="4632180D">
      <w:pPr>
        <w:spacing w:line="400" w:lineRule="exact"/>
        <w:ind w:left="480"/>
        <w:rPr>
          <w:rFonts w:ascii="宋体" w:hAnsi="宋体" w:cs="宋体"/>
          <w:b/>
          <w:bCs/>
          <w:color w:val="auto"/>
          <w:sz w:val="24"/>
        </w:rPr>
      </w:pPr>
      <w:r>
        <w:rPr>
          <w:rFonts w:hint="eastAsia" w:ascii="宋体" w:hAnsi="宋体" w:cs="宋体"/>
          <w:b/>
          <w:bCs/>
          <w:color w:val="auto"/>
          <w:sz w:val="24"/>
        </w:rPr>
        <w:t>（三）项目概况：</w:t>
      </w:r>
    </w:p>
    <w:p w14:paraId="0AD18491">
      <w:pPr>
        <w:spacing w:line="400" w:lineRule="exact"/>
        <w:ind w:firstLine="480" w:firstLineChars="200"/>
        <w:rPr>
          <w:rFonts w:ascii="宋体" w:hAnsi="宋体" w:cs="宋体"/>
          <w:color w:val="auto"/>
          <w:sz w:val="24"/>
        </w:rPr>
      </w:pPr>
      <w:r>
        <w:rPr>
          <w:rFonts w:hint="eastAsia" w:ascii="宋体" w:hAnsi="宋体" w:cs="宋体"/>
          <w:color w:val="auto"/>
          <w:sz w:val="24"/>
        </w:rPr>
        <w:t>1.通过院内公开招标确定桂林市人民医院</w:t>
      </w:r>
      <w:r>
        <w:rPr>
          <w:rFonts w:hint="eastAsia" w:ascii="宋体" w:hAnsi="宋体" w:cs="宋体"/>
          <w:bCs/>
          <w:color w:val="auto"/>
          <w:sz w:val="24"/>
        </w:rPr>
        <w:t>网络综合布线采购</w:t>
      </w:r>
      <w:r>
        <w:rPr>
          <w:rFonts w:hint="eastAsia" w:ascii="宋体" w:hAnsi="宋体" w:cs="宋体"/>
          <w:color w:val="auto"/>
          <w:sz w:val="24"/>
        </w:rPr>
        <w:t>项目供应商。</w:t>
      </w:r>
    </w:p>
    <w:p w14:paraId="22D759FD">
      <w:pPr>
        <w:spacing w:line="400" w:lineRule="exact"/>
        <w:ind w:firstLine="480" w:firstLineChars="200"/>
        <w:rPr>
          <w:rFonts w:ascii="宋体" w:hAnsi="宋体" w:cs="宋体"/>
          <w:color w:val="auto"/>
          <w:sz w:val="24"/>
        </w:rPr>
      </w:pPr>
      <w:r>
        <w:rPr>
          <w:rFonts w:hint="eastAsia" w:ascii="宋体" w:hAnsi="宋体" w:cs="宋体"/>
          <w:color w:val="auto"/>
          <w:sz w:val="24"/>
        </w:rPr>
        <w:t>2.服务地点：桂林市人民医院</w:t>
      </w:r>
    </w:p>
    <w:p w14:paraId="3AA3F1F0">
      <w:pPr>
        <w:spacing w:line="400" w:lineRule="exact"/>
        <w:ind w:firstLine="482" w:firstLineChars="200"/>
        <w:rPr>
          <w:rFonts w:ascii="宋体" w:hAnsi="宋体" w:cs="宋体"/>
          <w:color w:val="auto"/>
          <w:sz w:val="24"/>
        </w:rPr>
      </w:pPr>
      <w:r>
        <w:rPr>
          <w:rFonts w:hint="eastAsia" w:ascii="宋体" w:hAnsi="宋体" w:cs="宋体"/>
          <w:b/>
          <w:bCs/>
          <w:color w:val="auto"/>
          <w:sz w:val="24"/>
        </w:rPr>
        <w:t>（四）</w:t>
      </w:r>
      <w:r>
        <w:rPr>
          <w:rFonts w:hint="eastAsia"/>
          <w:color w:val="auto"/>
          <w:sz w:val="24"/>
        </w:rPr>
        <w:t>项目预算控制价</w:t>
      </w:r>
      <w:r>
        <w:rPr>
          <w:rFonts w:hint="eastAsia" w:ascii="宋体" w:hAnsi="宋体" w:cs="宋体"/>
          <w:b/>
          <w:bCs/>
          <w:color w:val="auto"/>
          <w:sz w:val="24"/>
        </w:rPr>
        <w:t>：</w:t>
      </w:r>
      <w:r>
        <w:rPr>
          <w:rFonts w:hint="eastAsia" w:ascii="宋体" w:hAnsi="宋体" w:cs="宋体"/>
          <w:color w:val="auto"/>
          <w:spacing w:val="-2"/>
          <w:sz w:val="24"/>
        </w:rPr>
        <w:t>本项目</w:t>
      </w:r>
      <w:r>
        <w:rPr>
          <w:rFonts w:hint="eastAsia" w:ascii="宋体" w:hAnsi="宋体" w:cs="宋体"/>
          <w:bCs/>
          <w:color w:val="auto"/>
          <w:sz w:val="24"/>
        </w:rPr>
        <w:t>预算控制价为294198元，</w:t>
      </w:r>
      <w:r>
        <w:rPr>
          <w:rFonts w:hint="eastAsia" w:ascii="宋体" w:hAnsi="宋体" w:cs="宋体"/>
          <w:color w:val="auto"/>
          <w:spacing w:val="-2"/>
          <w:sz w:val="24"/>
        </w:rPr>
        <w:t>投标人报价超出参考预算控制价的，按无效处理。</w:t>
      </w:r>
      <w:r>
        <w:rPr>
          <w:rFonts w:hint="eastAsia" w:cs="宋体"/>
          <w:color w:val="auto"/>
          <w:sz w:val="24"/>
          <w:shd w:val="clear" w:color="auto" w:fill="FFFFFF"/>
        </w:rPr>
        <w:t>本项目不接受</w:t>
      </w:r>
      <w:r>
        <w:rPr>
          <w:rFonts w:hint="eastAsia" w:ascii="宋体" w:hAnsi="宋体" w:cs="宋体"/>
          <w:color w:val="auto"/>
          <w:sz w:val="24"/>
        </w:rPr>
        <w:t>二次报价。</w:t>
      </w:r>
    </w:p>
    <w:p w14:paraId="3E85526A">
      <w:pPr>
        <w:spacing w:line="400" w:lineRule="exact"/>
        <w:ind w:firstLine="482" w:firstLineChars="200"/>
        <w:rPr>
          <w:rFonts w:ascii="宋体" w:hAnsi="宋体" w:cs="宋体"/>
          <w:b/>
          <w:bCs/>
          <w:color w:val="auto"/>
          <w:sz w:val="24"/>
        </w:rPr>
      </w:pPr>
      <w:r>
        <w:rPr>
          <w:rFonts w:hint="eastAsia" w:ascii="宋体" w:hAnsi="宋体" w:cs="宋体"/>
          <w:b/>
          <w:bCs/>
          <w:color w:val="auto"/>
          <w:sz w:val="24"/>
        </w:rPr>
        <w:t>二、供应商资质条件要求</w:t>
      </w:r>
    </w:p>
    <w:p w14:paraId="1BB77843">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1.国内注册【依法在市场监督管理部门（或行政审批部门）登记注册】的，具备合法资格的供应商；</w:t>
      </w:r>
    </w:p>
    <w:p w14:paraId="688D6E51">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2.参加本投标活动前三年内，在经营活动中没有重大违法记录；</w:t>
      </w:r>
    </w:p>
    <w:p w14:paraId="14CDFA50">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3.本项目不接受在“信用中国”网站(www.creditchina.gov.cn)被列入失信被执行人、重大税收违法失信主体、严重违法失信行为记录名单的投标人参与投标；</w:t>
      </w:r>
    </w:p>
    <w:p w14:paraId="3D087D38">
      <w:pPr>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4.本项目不接受联合体参与报价。</w:t>
      </w:r>
    </w:p>
    <w:p w14:paraId="6A125B31">
      <w:pPr>
        <w:spacing w:line="40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特别说明：</w:t>
      </w:r>
    </w:p>
    <w:p w14:paraId="41D46F77">
      <w:pPr>
        <w:spacing w:line="40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（1）与招标人存在利害关系可能影响招标公正性的法人、其他组织或者个人，不得参加投标。</w:t>
      </w:r>
    </w:p>
    <w:p w14:paraId="181FADA7">
      <w:pPr>
        <w:spacing w:line="40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（2）单位负责人为同一人或者存在控股、管理关系的不同单位，不得参加同一招标项目投标。</w:t>
      </w:r>
    </w:p>
    <w:p w14:paraId="6C757626">
      <w:pPr>
        <w:spacing w:line="40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如投标人有违反上述规定的，相关投标按无效投标处理。</w:t>
      </w:r>
    </w:p>
    <w:p w14:paraId="09B8A2FE">
      <w:pPr>
        <w:spacing w:line="400" w:lineRule="exact"/>
        <w:ind w:left="420" w:leftChars="200"/>
        <w:jc w:val="left"/>
        <w:rPr>
          <w:rFonts w:ascii="宋体" w:hAnsi="宋体" w:cs="宋体"/>
          <w:color w:val="auto"/>
          <w:sz w:val="24"/>
        </w:rPr>
      </w:pPr>
      <w:r>
        <w:rPr>
          <w:rFonts w:hint="eastAsia" w:ascii="宋体" w:hAnsi="宋体" w:cs="宋体"/>
          <w:b/>
          <w:bCs/>
          <w:color w:val="auto"/>
          <w:sz w:val="24"/>
        </w:rPr>
        <w:t>三、报名时间、方式及获取招标文件方式</w:t>
      </w:r>
    </w:p>
    <w:p w14:paraId="0B518EFE">
      <w:pPr>
        <w:pStyle w:val="5"/>
        <w:spacing w:line="400" w:lineRule="exact"/>
        <w:ind w:firstLine="480" w:firstLineChars="200"/>
        <w:rPr>
          <w:rFonts w:ascii="宋体" w:hAnsi="宋体" w:cs="宋体"/>
          <w:color w:val="auto"/>
          <w:sz w:val="24"/>
        </w:rPr>
      </w:pPr>
      <w:r>
        <w:rPr>
          <w:rFonts w:hint="eastAsia" w:ascii="宋体" w:hAnsi="宋体" w:cs="宋体"/>
          <w:color w:val="auto"/>
          <w:sz w:val="24"/>
        </w:rPr>
        <w:t>报名时间：2025年6月</w:t>
      </w:r>
      <w:r>
        <w:rPr>
          <w:rFonts w:hint="eastAsia" w:ascii="宋体" w:hAnsi="宋体" w:cs="宋体"/>
          <w:color w:val="auto"/>
          <w:sz w:val="24"/>
          <w:lang w:val="en-US" w:eastAsia="zh-CN"/>
        </w:rPr>
        <w:t>19</w:t>
      </w:r>
      <w:r>
        <w:rPr>
          <w:rFonts w:hint="eastAsia" w:ascii="宋体" w:hAnsi="宋体" w:cs="宋体"/>
          <w:color w:val="auto"/>
          <w:sz w:val="24"/>
        </w:rPr>
        <w:t>日至6月</w:t>
      </w:r>
      <w:r>
        <w:rPr>
          <w:rFonts w:hint="eastAsia" w:ascii="宋体" w:hAnsi="宋体" w:cs="宋体"/>
          <w:color w:val="auto"/>
          <w:sz w:val="24"/>
          <w:lang w:val="en-US" w:eastAsia="zh-CN"/>
        </w:rPr>
        <w:t>25</w:t>
      </w:r>
      <w:r>
        <w:rPr>
          <w:rFonts w:hint="eastAsia" w:ascii="宋体" w:hAnsi="宋体" w:cs="宋体"/>
          <w:color w:val="auto"/>
          <w:sz w:val="24"/>
        </w:rPr>
        <w:t>日17:00时止</w:t>
      </w:r>
      <w:r>
        <w:rPr>
          <w:rFonts w:hint="eastAsia"/>
          <w:color w:val="auto"/>
          <w:sz w:val="24"/>
        </w:rPr>
        <w:t>（北京时间）</w:t>
      </w:r>
      <w:r>
        <w:rPr>
          <w:rFonts w:hint="eastAsia" w:ascii="宋体" w:hAnsi="宋体" w:cs="宋体"/>
          <w:color w:val="auto"/>
          <w:sz w:val="24"/>
        </w:rPr>
        <w:t>，逾期报名无效。</w:t>
      </w:r>
    </w:p>
    <w:p w14:paraId="52E759E6">
      <w:pPr>
        <w:spacing w:line="400" w:lineRule="exact"/>
        <w:ind w:firstLine="480" w:firstLineChars="200"/>
        <w:rPr>
          <w:rFonts w:ascii="宋体" w:hAnsi="宋体" w:cs="宋体"/>
          <w:color w:val="auto"/>
          <w:sz w:val="24"/>
        </w:rPr>
      </w:pPr>
      <w:r>
        <w:rPr>
          <w:rFonts w:hint="eastAsia" w:ascii="宋体" w:hAnsi="宋体" w:cs="宋体"/>
          <w:color w:val="auto"/>
          <w:sz w:val="24"/>
        </w:rPr>
        <w:t>报名方式：网上报名。请潜在投标人自行下载附件《报名表》，并按《报名表》的格式内容填写相关信息，同时附上营业执照、“信用中国(www.creditchina.gov.cn)以及中国政府采购网(www.ccgp.gov.cn)”上打印的信用查询记录相关信息。潜在投标人将上述材料填写准备好后发至邮箱（</w:t>
      </w:r>
      <w:r>
        <w:rPr>
          <w:color w:val="auto"/>
        </w:rPr>
        <w:fldChar w:fldCharType="begin"/>
      </w:r>
      <w:r>
        <w:rPr>
          <w:color w:val="auto"/>
        </w:rPr>
        <w:instrText xml:space="preserve"> HYPERLINK "mailto:glsrmyyzbb@163.com" </w:instrText>
      </w:r>
      <w:r>
        <w:rPr>
          <w:color w:val="auto"/>
        </w:rPr>
        <w:fldChar w:fldCharType="separate"/>
      </w:r>
      <w:r>
        <w:rPr>
          <w:rFonts w:hint="eastAsia" w:ascii="宋体" w:hAnsi="宋体" w:cs="宋体"/>
          <w:color w:val="auto"/>
          <w:sz w:val="24"/>
        </w:rPr>
        <w:t>glsrmyyzbb@163.com</w:t>
      </w:r>
      <w:r>
        <w:rPr>
          <w:rFonts w:hint="eastAsia" w:ascii="宋体" w:hAnsi="宋体" w:cs="宋体"/>
          <w:color w:val="auto"/>
          <w:sz w:val="24"/>
        </w:rPr>
        <w:fldChar w:fldCharType="end"/>
      </w:r>
      <w:r>
        <w:rPr>
          <w:rFonts w:hint="eastAsia" w:ascii="宋体" w:hAnsi="宋体" w:cs="宋体"/>
          <w:color w:val="auto"/>
          <w:sz w:val="24"/>
        </w:rPr>
        <w:t>）即完成报名，否则将视为报名不成功。《报名表》要求WORD版，其他材料加盖公章后上传扫描件。</w:t>
      </w:r>
    </w:p>
    <w:p w14:paraId="1070AC2B">
      <w:pPr>
        <w:spacing w:line="400" w:lineRule="exact"/>
        <w:ind w:firstLine="480" w:firstLineChars="200"/>
        <w:rPr>
          <w:rFonts w:ascii="宋体" w:hAnsi="宋体" w:cs="宋体"/>
          <w:color w:val="auto"/>
          <w:sz w:val="24"/>
        </w:rPr>
      </w:pPr>
      <w:r>
        <w:rPr>
          <w:rFonts w:hint="eastAsia" w:ascii="宋体" w:hAnsi="宋体" w:cs="宋体"/>
          <w:color w:val="auto"/>
          <w:sz w:val="24"/>
        </w:rPr>
        <w:t>获取招标文件方式：桂林市人民医院官网（www.glrmyy.com）</w:t>
      </w:r>
    </w:p>
    <w:p w14:paraId="4D899868">
      <w:pPr>
        <w:spacing w:line="400" w:lineRule="exact"/>
        <w:ind w:firstLine="482" w:firstLineChars="200"/>
        <w:rPr>
          <w:rFonts w:ascii="宋体" w:hAnsi="宋体" w:cs="宋体"/>
          <w:b/>
          <w:bCs/>
          <w:color w:val="auto"/>
          <w:sz w:val="24"/>
        </w:rPr>
      </w:pPr>
      <w:r>
        <w:rPr>
          <w:rFonts w:hint="eastAsia" w:ascii="宋体" w:hAnsi="宋体" w:cs="宋体"/>
          <w:b/>
          <w:bCs/>
          <w:color w:val="auto"/>
          <w:sz w:val="24"/>
        </w:rPr>
        <w:t>四、采购活动要求</w:t>
      </w:r>
    </w:p>
    <w:p w14:paraId="32A89CC2">
      <w:pPr>
        <w:spacing w:line="400" w:lineRule="exact"/>
        <w:ind w:firstLine="480" w:firstLineChars="200"/>
        <w:rPr>
          <w:rFonts w:ascii="宋体" w:hAnsi="宋体" w:cs="宋体"/>
          <w:color w:val="auto"/>
          <w:sz w:val="24"/>
        </w:rPr>
      </w:pPr>
      <w:r>
        <w:rPr>
          <w:rFonts w:hint="eastAsia" w:ascii="宋体" w:hAnsi="宋体" w:cs="宋体"/>
          <w:color w:val="auto"/>
          <w:sz w:val="24"/>
        </w:rPr>
        <w:t>1.开标时间：具体时间另行通知</w:t>
      </w:r>
      <w:r>
        <w:rPr>
          <w:rFonts w:hint="eastAsia" w:ascii="宋体" w:hAnsi="宋体" w:cs="宋体"/>
          <w:b/>
          <w:bCs/>
          <w:color w:val="auto"/>
          <w:sz w:val="24"/>
        </w:rPr>
        <w:t>（开标通告将会通过（</w:t>
      </w:r>
      <w:r>
        <w:rPr>
          <w:color w:val="auto"/>
        </w:rPr>
        <w:fldChar w:fldCharType="begin"/>
      </w:r>
      <w:r>
        <w:rPr>
          <w:color w:val="auto"/>
        </w:rPr>
        <w:instrText xml:space="preserve"> HYPERLINK "mailto:glsrmyyzbb@163.com" </w:instrText>
      </w:r>
      <w:r>
        <w:rPr>
          <w:color w:val="auto"/>
        </w:rPr>
        <w:fldChar w:fldCharType="separate"/>
      </w:r>
      <w:r>
        <w:rPr>
          <w:rStyle w:val="18"/>
          <w:rFonts w:hint="eastAsia" w:ascii="宋体" w:hAnsi="宋体" w:cs="宋体"/>
          <w:b/>
          <w:bCs/>
          <w:color w:val="auto"/>
          <w:sz w:val="24"/>
        </w:rPr>
        <w:t>glsrmyyzbb@163.com</w:t>
      </w:r>
      <w:r>
        <w:rPr>
          <w:rStyle w:val="18"/>
          <w:rFonts w:hint="eastAsia" w:ascii="宋体" w:hAnsi="宋体" w:cs="宋体"/>
          <w:b/>
          <w:bCs/>
          <w:color w:val="auto"/>
          <w:sz w:val="24"/>
        </w:rPr>
        <w:fldChar w:fldCharType="end"/>
      </w:r>
      <w:r>
        <w:rPr>
          <w:rFonts w:hint="eastAsia" w:ascii="宋体" w:hAnsi="宋体" w:cs="宋体"/>
          <w:b/>
          <w:bCs/>
          <w:color w:val="auto"/>
          <w:sz w:val="24"/>
        </w:rPr>
        <w:t>）发至潜在投标人报名邮箱，报名后请及时关注查收，未及时查收后果自负）</w:t>
      </w:r>
      <w:r>
        <w:rPr>
          <w:rFonts w:hint="eastAsia" w:ascii="宋体" w:hAnsi="宋体" w:cs="宋体"/>
          <w:color w:val="auto"/>
          <w:sz w:val="24"/>
        </w:rPr>
        <w:t>，请报名后根据所获取的招标文件要求及时准备正式的投标文件。</w:t>
      </w:r>
    </w:p>
    <w:p w14:paraId="09928331">
      <w:pPr>
        <w:spacing w:line="400" w:lineRule="exact"/>
        <w:ind w:firstLine="480" w:firstLineChars="200"/>
        <w:rPr>
          <w:rFonts w:ascii="宋体" w:hAnsi="宋体" w:cs="宋体"/>
          <w:color w:val="auto"/>
          <w:sz w:val="24"/>
        </w:rPr>
      </w:pPr>
      <w:r>
        <w:rPr>
          <w:rFonts w:hint="eastAsia" w:ascii="宋体" w:hAnsi="宋体" w:cs="宋体"/>
          <w:color w:val="auto"/>
          <w:sz w:val="24"/>
        </w:rPr>
        <w:t>2.开标地点：桂林市人民医院招标办公室（广西桂林市象山区文明路29号）</w:t>
      </w:r>
    </w:p>
    <w:p w14:paraId="54BF9191">
      <w:pPr>
        <w:spacing w:line="400" w:lineRule="exact"/>
        <w:ind w:firstLine="480" w:firstLineChars="200"/>
        <w:rPr>
          <w:rFonts w:ascii="宋体" w:hAnsi="宋体" w:cs="宋体"/>
          <w:color w:val="auto"/>
          <w:sz w:val="24"/>
        </w:rPr>
      </w:pPr>
      <w:r>
        <w:rPr>
          <w:rFonts w:hint="eastAsia" w:ascii="宋体" w:hAnsi="宋体" w:cs="宋体"/>
          <w:color w:val="auto"/>
          <w:sz w:val="24"/>
        </w:rPr>
        <w:t>3.投标文件：</w:t>
      </w:r>
    </w:p>
    <w:p w14:paraId="54404C4E">
      <w:pPr>
        <w:spacing w:line="400" w:lineRule="exact"/>
        <w:ind w:firstLine="480" w:firstLineChars="200"/>
        <w:rPr>
          <w:rFonts w:ascii="宋体" w:hAnsi="宋体" w:cs="宋体"/>
          <w:color w:val="auto"/>
          <w:sz w:val="24"/>
        </w:rPr>
      </w:pPr>
      <w:r>
        <w:rPr>
          <w:rFonts w:hint="eastAsia" w:ascii="宋体" w:hAnsi="宋体" w:cs="宋体"/>
          <w:color w:val="auto"/>
          <w:sz w:val="24"/>
        </w:rPr>
        <w:t>(1)投标文件组成：必须含有但不限于响应函、营业执照复印件、法定代表人（负责人）身份证复印件、法定代表人授权书原件（委托代理时必须提供）、授权委托代理人身份证复印件、投标人参加政府采购活动前3年内在经营活动中没有重大违法记录的书面声明、投标人关于政府采购活动中信用信息记录的书面声明、“信用中国(www.creditchina.gov.cn)以及中国政府采购网(www.ccgp.gov.cn)”上打印的信用查询记录相关信息、联系人及电话等资料。投标人应完整准备上述投标文件的材料，否则由此引起的不利后果由投标人承担。</w:t>
      </w:r>
    </w:p>
    <w:p w14:paraId="41BC2401">
      <w:pPr>
        <w:spacing w:line="400" w:lineRule="exact"/>
        <w:ind w:firstLine="482" w:firstLineChars="200"/>
        <w:rPr>
          <w:rFonts w:ascii="宋体" w:hAnsi="宋体" w:cs="宋体"/>
          <w:color w:val="auto"/>
          <w:sz w:val="24"/>
        </w:rPr>
      </w:pPr>
      <w:r>
        <w:rPr>
          <w:rFonts w:hint="eastAsia" w:ascii="宋体" w:hAnsi="宋体" w:cs="宋体"/>
          <w:b/>
          <w:bCs/>
          <w:color w:val="auto"/>
          <w:sz w:val="24"/>
        </w:rPr>
        <w:t>投标文件所提供的证照及相关证明材料必须真实有效，一经发现造假，将取消本次投标资格并追究相关法律责任！</w:t>
      </w:r>
    </w:p>
    <w:p w14:paraId="69BE01C5">
      <w:pPr>
        <w:numPr>
          <w:ilvl w:val="0"/>
          <w:numId w:val="1"/>
        </w:numPr>
        <w:spacing w:line="400" w:lineRule="exact"/>
        <w:ind w:firstLine="480" w:firstLineChars="200"/>
        <w:rPr>
          <w:rFonts w:ascii="宋体" w:hAnsi="宋体" w:cs="宋体"/>
          <w:color w:val="auto"/>
          <w:sz w:val="24"/>
        </w:rPr>
      </w:pPr>
      <w:r>
        <w:rPr>
          <w:rFonts w:hint="eastAsia" w:ascii="宋体" w:hAnsi="宋体" w:cs="宋体"/>
          <w:color w:val="auto"/>
          <w:sz w:val="24"/>
        </w:rPr>
        <w:t>投标文件份数：正本一份，副本六份。</w:t>
      </w:r>
    </w:p>
    <w:p w14:paraId="3956C061">
      <w:pPr>
        <w:spacing w:line="400" w:lineRule="exact"/>
        <w:ind w:firstLine="480" w:firstLineChars="200"/>
        <w:rPr>
          <w:rFonts w:ascii="宋体" w:hAnsi="宋体" w:cs="宋体"/>
          <w:color w:val="auto"/>
          <w:sz w:val="24"/>
        </w:rPr>
      </w:pPr>
      <w:r>
        <w:rPr>
          <w:rFonts w:hint="eastAsia" w:ascii="宋体" w:hAnsi="宋体" w:cs="宋体"/>
          <w:color w:val="auto"/>
          <w:sz w:val="24"/>
        </w:rPr>
        <w:t>4.投标人应按规定的时间递交投标文件（投标文件应密封并加盖单位公章），逾期不予受理，投标文件一旦提交恕不退回。同时投标人委派参加本次投标活动的代表应当熟悉相关业务，否则由此引起的不利后果由投标人承担。</w:t>
      </w:r>
    </w:p>
    <w:p w14:paraId="501F0C99">
      <w:pPr>
        <w:spacing w:line="400" w:lineRule="exact"/>
        <w:ind w:firstLine="480" w:firstLineChars="200"/>
        <w:rPr>
          <w:rFonts w:ascii="宋体" w:hAnsi="宋体" w:cs="宋体"/>
          <w:color w:val="auto"/>
          <w:sz w:val="24"/>
        </w:rPr>
      </w:pPr>
      <w:r>
        <w:rPr>
          <w:rFonts w:hint="eastAsia" w:ascii="宋体" w:hAnsi="宋体" w:cs="宋体"/>
          <w:color w:val="auto"/>
          <w:sz w:val="24"/>
        </w:rPr>
        <w:t>5.凡报名合格并获取了招标文件的投标人，视同响应承诺参与本次投标活动。若因故不能按期参加的，请至少于开标截止时间前两天以书面邮件形式（发送邮箱地址：</w:t>
      </w:r>
      <w:r>
        <w:rPr>
          <w:color w:val="auto"/>
        </w:rPr>
        <w:fldChar w:fldCharType="begin"/>
      </w:r>
      <w:r>
        <w:rPr>
          <w:color w:val="auto"/>
        </w:rPr>
        <w:instrText xml:space="preserve"> HYPERLINK "mailto:glsrmyyzbb@163.com" </w:instrText>
      </w:r>
      <w:r>
        <w:rPr>
          <w:color w:val="auto"/>
        </w:rPr>
        <w:fldChar w:fldCharType="separate"/>
      </w:r>
      <w:r>
        <w:rPr>
          <w:rFonts w:hint="eastAsia" w:ascii="宋体" w:hAnsi="宋体" w:cs="宋体"/>
          <w:color w:val="auto"/>
          <w:sz w:val="24"/>
        </w:rPr>
        <w:t>glsrmyyzbb@163.com</w:t>
      </w:r>
      <w:r>
        <w:rPr>
          <w:rFonts w:hint="eastAsia" w:ascii="宋体" w:hAnsi="宋体" w:cs="宋体"/>
          <w:color w:val="auto"/>
          <w:sz w:val="24"/>
        </w:rPr>
        <w:fldChar w:fldCharType="end"/>
      </w:r>
      <w:r>
        <w:rPr>
          <w:rFonts w:hint="eastAsia" w:ascii="宋体" w:hAnsi="宋体" w:cs="宋体"/>
          <w:color w:val="auto"/>
          <w:sz w:val="24"/>
        </w:rPr>
        <w:t>）告知我院招标办公室，否则，将被视为不诚信供应商，列入我院供应商黑名单，至少一年内不接受其参与我院院内的任何招标活动。</w:t>
      </w:r>
    </w:p>
    <w:p w14:paraId="52332EBC">
      <w:pPr>
        <w:spacing w:line="400" w:lineRule="exact"/>
        <w:ind w:firstLine="482" w:firstLineChars="200"/>
        <w:rPr>
          <w:rFonts w:ascii="宋体" w:hAnsi="宋体" w:cs="宋体"/>
          <w:b/>
          <w:bCs/>
          <w:color w:val="auto"/>
          <w:sz w:val="24"/>
        </w:rPr>
      </w:pPr>
      <w:r>
        <w:rPr>
          <w:rFonts w:hint="eastAsia" w:ascii="宋体" w:hAnsi="宋体" w:cs="宋体"/>
          <w:b/>
          <w:bCs/>
          <w:color w:val="auto"/>
          <w:sz w:val="24"/>
        </w:rPr>
        <w:t>五、信息公告发布媒体</w:t>
      </w:r>
    </w:p>
    <w:p w14:paraId="1094C462">
      <w:pPr>
        <w:spacing w:line="400" w:lineRule="exact"/>
        <w:ind w:firstLine="480" w:firstLineChars="200"/>
        <w:rPr>
          <w:rFonts w:ascii="宋体" w:hAnsi="宋体" w:cs="宋体"/>
          <w:color w:val="auto"/>
          <w:sz w:val="24"/>
        </w:rPr>
      </w:pPr>
      <w:r>
        <w:rPr>
          <w:rFonts w:hint="eastAsia" w:ascii="宋体" w:hAnsi="宋体" w:cs="宋体"/>
          <w:color w:val="auto"/>
          <w:sz w:val="24"/>
        </w:rPr>
        <w:t>本次招标公告在桂林市人民医院官网（www.glrmyy.com）发布，对其他网站转发本公告可能引起的信息误导、造成投标人的经济或其他损失的，招标人不负任何责任。</w:t>
      </w:r>
    </w:p>
    <w:p w14:paraId="363E8E29">
      <w:pPr>
        <w:spacing w:line="400" w:lineRule="exact"/>
        <w:ind w:firstLine="482" w:firstLineChars="200"/>
        <w:rPr>
          <w:rFonts w:ascii="宋体" w:hAnsi="宋体" w:cs="宋体"/>
          <w:color w:val="auto"/>
          <w:sz w:val="24"/>
        </w:rPr>
      </w:pPr>
      <w:r>
        <w:rPr>
          <w:rFonts w:hint="eastAsia" w:ascii="宋体" w:hAnsi="宋体" w:cs="宋体"/>
          <w:b/>
          <w:bCs/>
          <w:color w:val="auto"/>
          <w:sz w:val="24"/>
        </w:rPr>
        <w:t>六、联系方式</w:t>
      </w:r>
    </w:p>
    <w:p w14:paraId="18E09B54">
      <w:pPr>
        <w:spacing w:line="400" w:lineRule="exact"/>
        <w:ind w:firstLine="480" w:firstLineChars="200"/>
        <w:rPr>
          <w:rFonts w:ascii="宋体" w:hAnsi="宋体" w:cs="宋体"/>
          <w:color w:val="auto"/>
          <w:sz w:val="24"/>
        </w:rPr>
      </w:pPr>
      <w:r>
        <w:rPr>
          <w:rFonts w:hint="eastAsia" w:ascii="宋体" w:hAnsi="宋体" w:cs="宋体"/>
          <w:color w:val="auto"/>
          <w:sz w:val="24"/>
        </w:rPr>
        <w:t>1.联系人：罗老师、戴老师</w:t>
      </w:r>
    </w:p>
    <w:p w14:paraId="7BB3B696">
      <w:pPr>
        <w:spacing w:line="400" w:lineRule="exact"/>
        <w:ind w:firstLine="480" w:firstLineChars="200"/>
        <w:rPr>
          <w:rFonts w:ascii="宋体" w:hAnsi="宋体" w:cs="宋体"/>
          <w:color w:val="auto"/>
          <w:sz w:val="24"/>
        </w:rPr>
      </w:pPr>
      <w:r>
        <w:rPr>
          <w:rFonts w:hint="eastAsia" w:ascii="宋体" w:hAnsi="宋体" w:cs="宋体"/>
          <w:color w:val="auto"/>
          <w:sz w:val="24"/>
        </w:rPr>
        <w:t>2.联系电话：0773-2803316</w:t>
      </w:r>
    </w:p>
    <w:p w14:paraId="387086DD">
      <w:pPr>
        <w:tabs>
          <w:tab w:val="left" w:pos="6583"/>
        </w:tabs>
        <w:spacing w:line="400" w:lineRule="exact"/>
        <w:ind w:firstLine="5760" w:firstLineChars="2400"/>
        <w:jc w:val="center"/>
        <w:rPr>
          <w:rFonts w:ascii="宋体" w:hAnsi="宋体" w:cs="宋体"/>
          <w:color w:val="auto"/>
          <w:sz w:val="24"/>
        </w:rPr>
      </w:pPr>
      <w:r>
        <w:rPr>
          <w:rFonts w:hint="eastAsia" w:ascii="宋体" w:hAnsi="宋体" w:cs="宋体"/>
          <w:color w:val="auto"/>
          <w:sz w:val="24"/>
        </w:rPr>
        <w:t xml:space="preserve">         桂林市人民医院</w:t>
      </w:r>
    </w:p>
    <w:p w14:paraId="4FF29531">
      <w:pPr>
        <w:tabs>
          <w:tab w:val="left" w:pos="5623"/>
        </w:tabs>
        <w:spacing w:line="400" w:lineRule="exact"/>
        <w:jc w:val="center"/>
        <w:rPr>
          <w:rFonts w:ascii="宋体" w:hAnsi="宋体" w:cs="宋体"/>
          <w:b/>
          <w:bCs/>
          <w:color w:val="auto"/>
          <w:w w:val="95"/>
          <w:sz w:val="24"/>
        </w:rPr>
      </w:pPr>
      <w:r>
        <w:rPr>
          <w:rFonts w:hint="eastAsia" w:ascii="宋体" w:hAnsi="宋体" w:cs="宋体"/>
          <w:color w:val="auto"/>
          <w:sz w:val="24"/>
        </w:rPr>
        <w:t xml:space="preserve">                                                        2025年6月</w:t>
      </w:r>
      <w:r>
        <w:rPr>
          <w:rFonts w:hint="eastAsia" w:ascii="宋体" w:hAnsi="宋体" w:cs="宋体"/>
          <w:color w:val="auto"/>
          <w:sz w:val="24"/>
          <w:lang w:val="en-US" w:eastAsia="zh-CN"/>
        </w:rPr>
        <w:t>18</w:t>
      </w:r>
      <w:r>
        <w:rPr>
          <w:rFonts w:hint="eastAsia" w:ascii="宋体" w:hAnsi="宋体" w:cs="宋体"/>
          <w:color w:val="auto"/>
          <w:sz w:val="24"/>
        </w:rPr>
        <w:t xml:space="preserve"> </w:t>
      </w:r>
      <w:bookmarkStart w:id="0" w:name="_GoBack"/>
      <w:bookmarkEnd w:id="0"/>
      <w:r>
        <w:rPr>
          <w:rFonts w:hint="eastAsia" w:ascii="宋体" w:hAnsi="宋体" w:cs="宋体"/>
          <w:color w:val="auto"/>
          <w:sz w:val="24"/>
        </w:rPr>
        <w:t>日</w:t>
      </w:r>
    </w:p>
    <w:p w14:paraId="28524887">
      <w:pPr>
        <w:spacing w:line="400" w:lineRule="exact"/>
        <w:rPr>
          <w:rFonts w:ascii="宋体" w:hAnsi="宋体" w:cs="宋体"/>
          <w:color w:val="auto"/>
          <w:sz w:val="24"/>
        </w:rPr>
      </w:pPr>
      <w:r>
        <w:rPr>
          <w:rFonts w:hint="eastAsia" w:ascii="宋体" w:hAnsi="宋体" w:cs="宋体"/>
          <w:b/>
          <w:bCs/>
          <w:color w:val="auto"/>
          <w:w w:val="95"/>
          <w:sz w:val="24"/>
        </w:rPr>
        <w:br w:type="page"/>
      </w:r>
    </w:p>
    <w:p w14:paraId="77B520B5">
      <w:pPr>
        <w:pStyle w:val="2"/>
        <w:spacing w:line="400" w:lineRule="exact"/>
        <w:jc w:val="center"/>
        <w:rPr>
          <w:color w:val="auto"/>
          <w:sz w:val="30"/>
          <w:szCs w:val="30"/>
        </w:rPr>
      </w:pPr>
      <w:r>
        <w:rPr>
          <w:rFonts w:hint="eastAsia"/>
          <w:color w:val="auto"/>
          <w:w w:val="95"/>
          <w:sz w:val="30"/>
          <w:szCs w:val="30"/>
        </w:rPr>
        <w:t xml:space="preserve">第二章  项目需求和说明 </w:t>
      </w:r>
    </w:p>
    <w:p w14:paraId="7AB4AC66">
      <w:pPr>
        <w:spacing w:line="400" w:lineRule="exact"/>
        <w:ind w:firstLine="482" w:firstLineChars="200"/>
        <w:rPr>
          <w:rFonts w:ascii="宋体" w:hAnsi="宋体" w:cs="宋体"/>
          <w:color w:val="auto"/>
          <w:sz w:val="24"/>
        </w:rPr>
      </w:pPr>
      <w:r>
        <w:rPr>
          <w:rFonts w:hint="eastAsia" w:ascii="宋体" w:hAnsi="宋体" w:cs="宋体"/>
          <w:b/>
          <w:bCs/>
          <w:color w:val="auto"/>
          <w:sz w:val="24"/>
        </w:rPr>
        <w:t>一、项目名称：</w:t>
      </w:r>
      <w:r>
        <w:rPr>
          <w:rFonts w:hint="eastAsia" w:ascii="宋体" w:hAnsi="宋体" w:cs="宋体"/>
          <w:color w:val="auto"/>
          <w:sz w:val="24"/>
        </w:rPr>
        <w:t>桂林市人民医院</w:t>
      </w:r>
      <w:r>
        <w:rPr>
          <w:rFonts w:hint="eastAsia" w:ascii="宋体" w:hAnsi="宋体" w:cs="宋体"/>
          <w:bCs/>
          <w:color w:val="auto"/>
          <w:sz w:val="24"/>
        </w:rPr>
        <w:t>网络综合布线采购</w:t>
      </w:r>
    </w:p>
    <w:p w14:paraId="0046AD95">
      <w:pPr>
        <w:spacing w:line="400" w:lineRule="exact"/>
        <w:ind w:firstLine="482" w:firstLineChars="200"/>
        <w:rPr>
          <w:rFonts w:ascii="宋体" w:hAnsi="宋体" w:cs="宋体"/>
          <w:color w:val="auto"/>
          <w:sz w:val="24"/>
        </w:rPr>
      </w:pPr>
      <w:r>
        <w:rPr>
          <w:rFonts w:hint="eastAsia" w:ascii="宋体" w:hAnsi="宋体" w:cs="宋体"/>
          <w:b/>
          <w:bCs/>
          <w:color w:val="auto"/>
          <w:sz w:val="24"/>
        </w:rPr>
        <w:t>二、项目编号：</w:t>
      </w:r>
      <w:r>
        <w:rPr>
          <w:rFonts w:hint="eastAsia" w:ascii="宋体" w:hAnsi="宋体" w:cs="宋体"/>
          <w:color w:val="auto"/>
          <w:sz w:val="24"/>
        </w:rPr>
        <w:t>XXK-2025-011</w:t>
      </w:r>
    </w:p>
    <w:p w14:paraId="327DEF97">
      <w:pPr>
        <w:spacing w:line="400" w:lineRule="exact"/>
        <w:ind w:firstLine="482" w:firstLineChars="200"/>
        <w:rPr>
          <w:color w:val="auto"/>
        </w:rPr>
      </w:pPr>
      <w:r>
        <w:rPr>
          <w:rFonts w:hint="eastAsia" w:ascii="宋体" w:hAnsi="宋体" w:cs="宋体"/>
          <w:b/>
          <w:color w:val="auto"/>
          <w:sz w:val="24"/>
        </w:rPr>
        <w:t>三、（一）技术要求</w:t>
      </w:r>
      <w:r>
        <w:rPr>
          <w:rFonts w:hint="eastAsia" w:eastAsia="方正大标宋简体"/>
          <w:color w:val="auto"/>
          <w:sz w:val="30"/>
          <w:szCs w:val="30"/>
        </w:rPr>
        <w:t xml:space="preserve">                   </w:t>
      </w:r>
    </w:p>
    <w:tbl>
      <w:tblPr>
        <w:tblStyle w:val="15"/>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7"/>
        <w:gridCol w:w="734"/>
        <w:gridCol w:w="1843"/>
        <w:gridCol w:w="4244"/>
        <w:gridCol w:w="614"/>
        <w:gridCol w:w="747"/>
        <w:gridCol w:w="931"/>
        <w:gridCol w:w="931"/>
      </w:tblGrid>
      <w:tr w14:paraId="0053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245D521E">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951" w:type="dxa"/>
            <w:gridSpan w:val="2"/>
            <w:vAlign w:val="center"/>
          </w:tcPr>
          <w:p w14:paraId="2B241E18">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货物名称</w:t>
            </w:r>
          </w:p>
        </w:tc>
        <w:tc>
          <w:tcPr>
            <w:tcW w:w="1843" w:type="dxa"/>
            <w:vAlign w:val="center"/>
          </w:tcPr>
          <w:p w14:paraId="23A3465A">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参考品牌</w:t>
            </w:r>
          </w:p>
        </w:tc>
        <w:tc>
          <w:tcPr>
            <w:tcW w:w="4244" w:type="dxa"/>
            <w:vAlign w:val="center"/>
          </w:tcPr>
          <w:p w14:paraId="49CEB70C">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技术参数及性能配置要求</w:t>
            </w:r>
          </w:p>
        </w:tc>
        <w:tc>
          <w:tcPr>
            <w:tcW w:w="614" w:type="dxa"/>
            <w:vAlign w:val="center"/>
          </w:tcPr>
          <w:p w14:paraId="1A5124B9">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747" w:type="dxa"/>
            <w:vAlign w:val="center"/>
          </w:tcPr>
          <w:p w14:paraId="35FA8D1F">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931" w:type="dxa"/>
            <w:vAlign w:val="center"/>
          </w:tcPr>
          <w:p w14:paraId="6804B5C7">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控制单价（元）</w:t>
            </w:r>
          </w:p>
        </w:tc>
        <w:tc>
          <w:tcPr>
            <w:tcW w:w="931" w:type="dxa"/>
            <w:vAlign w:val="center"/>
          </w:tcPr>
          <w:p w14:paraId="17BE7321">
            <w:pPr>
              <w:widowControl/>
              <w:spacing w:line="4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汇总价（元）</w:t>
            </w:r>
          </w:p>
        </w:tc>
      </w:tr>
      <w:tr w14:paraId="1FA8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1D496DD3">
            <w:pPr>
              <w:widowControl/>
              <w:spacing w:line="400" w:lineRule="exact"/>
              <w:jc w:val="center"/>
              <w:rPr>
                <w:color w:val="auto"/>
                <w:kern w:val="0"/>
                <w:sz w:val="21"/>
                <w:szCs w:val="21"/>
              </w:rPr>
            </w:pPr>
            <w:r>
              <w:rPr>
                <w:color w:val="auto"/>
                <w:kern w:val="0"/>
                <w:sz w:val="21"/>
                <w:szCs w:val="21"/>
              </w:rPr>
              <w:t>1</w:t>
            </w:r>
          </w:p>
        </w:tc>
        <w:tc>
          <w:tcPr>
            <w:tcW w:w="951" w:type="dxa"/>
            <w:gridSpan w:val="2"/>
            <w:vAlign w:val="center"/>
          </w:tcPr>
          <w:p w14:paraId="2506FD7D">
            <w:pPr>
              <w:widowControl/>
              <w:spacing w:line="400" w:lineRule="exact"/>
              <w:jc w:val="center"/>
              <w:rPr>
                <w:rFonts w:ascii="宋体" w:hAnsi="宋体" w:cs="宋体"/>
                <w:b/>
                <w:color w:val="auto"/>
                <w:kern w:val="0"/>
                <w:sz w:val="21"/>
                <w:szCs w:val="21"/>
              </w:rPr>
            </w:pPr>
            <w:r>
              <w:rPr>
                <w:rFonts w:hint="eastAsia" w:ascii="宋体" w:hAnsi="宋体" w:cs="宋体"/>
                <w:color w:val="auto"/>
                <w:kern w:val="0"/>
                <w:sz w:val="21"/>
                <w:szCs w:val="21"/>
              </w:rPr>
              <w:t>六类非屏蔽模块、单口面板（含安装底盒）</w:t>
            </w:r>
          </w:p>
        </w:tc>
        <w:tc>
          <w:tcPr>
            <w:tcW w:w="1843" w:type="dxa"/>
            <w:vAlign w:val="center"/>
          </w:tcPr>
          <w:p w14:paraId="1837715D">
            <w:pPr>
              <w:widowControl/>
              <w:spacing w:line="400" w:lineRule="exact"/>
              <w:jc w:val="center"/>
              <w:rPr>
                <w:rFonts w:ascii="宋体" w:hAnsi="宋体" w:cs="宋体"/>
                <w:b/>
                <w:color w:val="auto"/>
                <w:kern w:val="0"/>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2204C52B">
            <w:pPr>
              <w:widowControl/>
              <w:spacing w:line="400" w:lineRule="exact"/>
              <w:rPr>
                <w:color w:val="auto"/>
                <w:sz w:val="21"/>
                <w:szCs w:val="21"/>
              </w:rPr>
            </w:pPr>
            <w:r>
              <w:rPr>
                <w:rFonts w:hint="eastAsia"/>
                <w:color w:val="auto"/>
                <w:sz w:val="21"/>
                <w:szCs w:val="21"/>
              </w:rPr>
              <w:t>一、单口面板产品：86×86，信息插座面板。</w:t>
            </w:r>
          </w:p>
          <w:p w14:paraId="2C0CC7EE">
            <w:pPr>
              <w:widowControl/>
              <w:spacing w:line="400" w:lineRule="exact"/>
              <w:rPr>
                <w:color w:val="auto"/>
                <w:sz w:val="21"/>
                <w:szCs w:val="21"/>
              </w:rPr>
            </w:pPr>
            <w:r>
              <w:rPr>
                <w:rFonts w:hint="eastAsia"/>
                <w:color w:val="auto"/>
                <w:sz w:val="21"/>
                <w:szCs w:val="21"/>
              </w:rPr>
              <w:t>★1、组合式结构，前后双层面板设计，避免固定螺丝孔外露，面板与模块采用90度安装方式。</w:t>
            </w:r>
          </w:p>
          <w:p w14:paraId="015ECFFA">
            <w:pPr>
              <w:widowControl/>
              <w:spacing w:line="400" w:lineRule="exact"/>
              <w:rPr>
                <w:color w:val="auto"/>
                <w:sz w:val="21"/>
                <w:szCs w:val="21"/>
              </w:rPr>
            </w:pPr>
            <w:r>
              <w:rPr>
                <w:rFonts w:hint="eastAsia"/>
                <w:color w:val="auto"/>
                <w:sz w:val="21"/>
                <w:szCs w:val="21"/>
              </w:rPr>
              <w:t>★2、RJ45\RJ11端口带弹簧式自动回弹防尘门设计，防止灰尘等异物侵入，防尘门为白色、与面板整体风格协调统一，防尘门向上开启、便于操作、有效保护水晶头弹片，模块卡装接口为“梯形”接口、具有较好的兼容性、不得采用特殊专用卡装接口。</w:t>
            </w:r>
          </w:p>
          <w:p w14:paraId="2D5D6D7B">
            <w:pPr>
              <w:widowControl/>
              <w:spacing w:line="400" w:lineRule="exact"/>
              <w:rPr>
                <w:color w:val="auto"/>
                <w:sz w:val="21"/>
                <w:szCs w:val="21"/>
              </w:rPr>
            </w:pPr>
            <w:r>
              <w:rPr>
                <w:rFonts w:hint="eastAsia"/>
                <w:color w:val="auto"/>
                <w:sz w:val="21"/>
                <w:szCs w:val="21"/>
              </w:rPr>
              <w:t>3、带有可更换标识纸和标识盖，方便维护和使用</w:t>
            </w:r>
          </w:p>
          <w:p w14:paraId="743DE258">
            <w:pPr>
              <w:widowControl/>
              <w:spacing w:line="400" w:lineRule="exact"/>
              <w:rPr>
                <w:color w:val="auto"/>
                <w:sz w:val="21"/>
                <w:szCs w:val="21"/>
              </w:rPr>
            </w:pPr>
            <w:r>
              <w:rPr>
                <w:rFonts w:hint="eastAsia"/>
                <w:color w:val="auto"/>
                <w:sz w:val="21"/>
                <w:szCs w:val="21"/>
              </w:rPr>
              <w:t>面板尺寸：</w:t>
            </w:r>
            <w:r>
              <w:rPr>
                <w:rFonts w:hint="eastAsia"/>
                <w:color w:val="auto"/>
                <w:sz w:val="21"/>
                <w:szCs w:val="21"/>
                <w:lang w:eastAsia="zh-CN"/>
              </w:rPr>
              <w:t>约</w:t>
            </w:r>
            <w:r>
              <w:rPr>
                <w:rFonts w:hint="eastAsia"/>
                <w:color w:val="auto"/>
                <w:sz w:val="21"/>
                <w:szCs w:val="21"/>
              </w:rPr>
              <w:t>高度:86×宽度:86mm。</w:t>
            </w:r>
          </w:p>
          <w:p w14:paraId="05214D6F">
            <w:pPr>
              <w:widowControl/>
              <w:numPr>
                <w:ilvl w:val="0"/>
                <w:numId w:val="2"/>
              </w:numPr>
              <w:spacing w:line="400" w:lineRule="exact"/>
              <w:rPr>
                <w:color w:val="auto"/>
                <w:sz w:val="21"/>
                <w:szCs w:val="21"/>
              </w:rPr>
            </w:pPr>
            <w:r>
              <w:rPr>
                <w:rFonts w:hint="eastAsia"/>
                <w:color w:val="auto"/>
                <w:sz w:val="21"/>
                <w:szCs w:val="21"/>
              </w:rPr>
              <w:t>六类模块6类非屏蔽模块</w:t>
            </w:r>
          </w:p>
          <w:p w14:paraId="69A45624">
            <w:pPr>
              <w:widowControl/>
              <w:spacing w:line="400" w:lineRule="exact"/>
              <w:rPr>
                <w:rFonts w:hint="eastAsia" w:eastAsia="宋体"/>
                <w:color w:val="auto"/>
                <w:sz w:val="21"/>
                <w:szCs w:val="21"/>
                <w:lang w:val="en-US" w:eastAsia="zh-CN"/>
              </w:rPr>
            </w:pPr>
            <w:r>
              <w:rPr>
                <w:rFonts w:hint="eastAsia"/>
                <w:color w:val="auto"/>
                <w:sz w:val="21"/>
                <w:szCs w:val="21"/>
              </w:rPr>
              <w:t>1、模刻品牌商标</w:t>
            </w:r>
            <w:r>
              <w:rPr>
                <w:rStyle w:val="19"/>
                <w:rFonts w:hint="eastAsia"/>
                <w:color w:val="auto"/>
                <w:sz w:val="21"/>
                <w:szCs w:val="21"/>
                <w:lang w:val="en-US" w:eastAsia="zh-CN"/>
              </w:rPr>
              <w:t>;</w:t>
            </w:r>
          </w:p>
          <w:p w14:paraId="60899378">
            <w:pPr>
              <w:widowControl/>
              <w:spacing w:line="400" w:lineRule="exact"/>
              <w:rPr>
                <w:color w:val="auto"/>
                <w:sz w:val="21"/>
                <w:szCs w:val="21"/>
              </w:rPr>
            </w:pPr>
            <w:r>
              <w:rPr>
                <w:rFonts w:hint="eastAsia"/>
                <w:color w:val="auto"/>
                <w:sz w:val="21"/>
                <w:szCs w:val="21"/>
              </w:rPr>
              <w:t>2、保持最小绞距的自动分卡线结构，分线防脱落结构</w:t>
            </w:r>
          </w:p>
          <w:p w14:paraId="18EB4E1E">
            <w:pPr>
              <w:widowControl/>
              <w:spacing w:line="400" w:lineRule="exact"/>
              <w:rPr>
                <w:color w:val="auto"/>
                <w:sz w:val="21"/>
                <w:szCs w:val="21"/>
              </w:rPr>
            </w:pPr>
            <w:r>
              <w:rPr>
                <w:rFonts w:hint="eastAsia"/>
                <w:color w:val="auto"/>
                <w:sz w:val="21"/>
                <w:szCs w:val="21"/>
              </w:rPr>
              <w:t>标准：YD/T 926.3，ISO/IEC 11801；</w:t>
            </w:r>
          </w:p>
          <w:p w14:paraId="1620A17A">
            <w:pPr>
              <w:widowControl/>
              <w:spacing w:line="400" w:lineRule="exact"/>
              <w:rPr>
                <w:color w:val="auto"/>
                <w:sz w:val="21"/>
                <w:szCs w:val="21"/>
              </w:rPr>
            </w:pPr>
            <w:r>
              <w:rPr>
                <w:rFonts w:hint="eastAsia"/>
                <w:color w:val="auto"/>
                <w:sz w:val="21"/>
                <w:szCs w:val="21"/>
              </w:rPr>
              <w:t>★3、阻燃级别：V-0，IDC：磷青铜。</w:t>
            </w:r>
          </w:p>
          <w:p w14:paraId="7CDF9138">
            <w:pPr>
              <w:widowControl/>
              <w:spacing w:line="400" w:lineRule="exact"/>
              <w:rPr>
                <w:color w:val="auto"/>
                <w:sz w:val="21"/>
                <w:szCs w:val="21"/>
              </w:rPr>
            </w:pPr>
            <w:r>
              <w:rPr>
                <w:rFonts w:hint="eastAsia"/>
                <w:color w:val="auto"/>
                <w:sz w:val="21"/>
                <w:szCs w:val="21"/>
              </w:rPr>
              <w:t>★4、金针采用磷青铜表面镀金，PCB性能补偿设计，金针与PCB采用无焊锡植针技术；</w:t>
            </w:r>
          </w:p>
          <w:p w14:paraId="27D3119F">
            <w:pPr>
              <w:widowControl/>
              <w:spacing w:line="400" w:lineRule="exact"/>
              <w:rPr>
                <w:color w:val="auto"/>
                <w:sz w:val="21"/>
                <w:szCs w:val="21"/>
              </w:rPr>
            </w:pPr>
            <w:r>
              <w:rPr>
                <w:rFonts w:hint="eastAsia"/>
                <w:color w:val="auto"/>
                <w:sz w:val="21"/>
                <w:szCs w:val="21"/>
              </w:rPr>
              <w:t>5、卡线后座及线缆保护盖：PC 材料，插头与插座插合次数：≥1000次，导线端接次数：≥20次，打线方式：T568A/T568B，IDC与金针方向：180度，卡接导体规格：单股、0.5mm～0.65mm、24AWG~22AWG，最高传输频率：250MHz，额定电流：0.75A，工作温度：-10℃～+60℃</w:t>
            </w:r>
          </w:p>
          <w:p w14:paraId="6757D966">
            <w:pPr>
              <w:widowControl/>
              <w:spacing w:line="400" w:lineRule="exact"/>
              <w:rPr>
                <w:color w:val="auto"/>
                <w:sz w:val="21"/>
                <w:szCs w:val="21"/>
              </w:rPr>
            </w:pPr>
            <w:r>
              <w:rPr>
                <w:rFonts w:hint="eastAsia"/>
                <w:color w:val="auto"/>
                <w:sz w:val="21"/>
                <w:szCs w:val="21"/>
              </w:rPr>
              <w:t>★6、6类非屏蔽信道通过第三方通信/供电一体化连接方案性能评测（90W/1000Mbit/s）</w:t>
            </w:r>
            <w:r>
              <w:rPr>
                <w:rFonts w:hint="eastAsia"/>
                <w:color w:val="auto"/>
                <w:sz w:val="21"/>
                <w:szCs w:val="21"/>
                <w:lang w:eastAsia="zh-CN"/>
              </w:rPr>
              <w:t>，投标时须</w:t>
            </w:r>
            <w:r>
              <w:rPr>
                <w:rFonts w:hint="eastAsia"/>
                <w:color w:val="auto"/>
                <w:sz w:val="21"/>
                <w:szCs w:val="21"/>
              </w:rPr>
              <w:t>提供证书复印件并加盖供应商公章，否则</w:t>
            </w:r>
            <w:r>
              <w:rPr>
                <w:rFonts w:hint="eastAsia"/>
                <w:color w:val="auto"/>
                <w:sz w:val="21"/>
                <w:szCs w:val="21"/>
                <w:lang w:eastAsia="zh-CN"/>
              </w:rPr>
              <w:t>投标文件</w:t>
            </w:r>
            <w:r>
              <w:rPr>
                <w:rFonts w:hint="eastAsia"/>
                <w:color w:val="auto"/>
                <w:sz w:val="21"/>
                <w:szCs w:val="21"/>
              </w:rPr>
              <w:t>无效。</w:t>
            </w:r>
          </w:p>
          <w:p w14:paraId="303C19B0">
            <w:pPr>
              <w:widowControl/>
              <w:spacing w:line="400" w:lineRule="exact"/>
              <w:rPr>
                <w:color w:val="auto"/>
                <w:sz w:val="21"/>
                <w:szCs w:val="21"/>
              </w:rPr>
            </w:pPr>
            <w:r>
              <w:rPr>
                <w:rFonts w:hint="eastAsia"/>
                <w:color w:val="auto"/>
                <w:sz w:val="21"/>
                <w:szCs w:val="21"/>
              </w:rPr>
              <w:t>7、产品符合ETL，EC，3P，GHMT认证并提供证书;</w:t>
            </w:r>
          </w:p>
          <w:p w14:paraId="11BCC800">
            <w:pPr>
              <w:widowControl/>
              <w:spacing w:line="400" w:lineRule="exact"/>
              <w:rPr>
                <w:rFonts w:hint="eastAsia" w:ascii="宋体" w:hAnsi="宋体" w:eastAsia="宋体"/>
                <w:color w:val="auto"/>
                <w:sz w:val="21"/>
                <w:szCs w:val="21"/>
                <w:lang w:eastAsia="zh-CN"/>
              </w:rPr>
            </w:pPr>
            <w:r>
              <w:rPr>
                <w:rFonts w:hint="eastAsia"/>
                <w:color w:val="auto"/>
                <w:sz w:val="21"/>
                <w:szCs w:val="21"/>
              </w:rPr>
              <w:t>★9、产品传输性能符合5米短信道（二节点），9米短信道（三节点），14米短信道（四节点），100米信道（六节点）和永久链路</w:t>
            </w:r>
            <w:r>
              <w:rPr>
                <w:rStyle w:val="19"/>
                <w:rFonts w:hint="eastAsia"/>
                <w:color w:val="auto"/>
                <w:sz w:val="21"/>
                <w:szCs w:val="21"/>
                <w:lang w:eastAsia="zh-CN"/>
              </w:rPr>
              <w:t>，</w:t>
            </w:r>
            <w:r>
              <w:rPr>
                <w:rFonts w:hint="eastAsia"/>
                <w:color w:val="auto"/>
                <w:sz w:val="21"/>
                <w:szCs w:val="21"/>
              </w:rPr>
              <w:t>产品传输性能符合GB/T50312-2016标准92米长信道（10节点）、15米短信道（6节点）、15米永久链路（6节点）、90米永久链路（10节点）</w:t>
            </w:r>
            <w:r>
              <w:rPr>
                <w:rFonts w:hint="eastAsia"/>
                <w:color w:val="auto"/>
                <w:sz w:val="21"/>
                <w:szCs w:val="21"/>
                <w:lang w:eastAsia="zh-CN"/>
              </w:rPr>
              <w:t>，投标时须</w:t>
            </w:r>
            <w:r>
              <w:rPr>
                <w:rFonts w:hint="eastAsia"/>
                <w:color w:val="auto"/>
                <w:sz w:val="21"/>
                <w:szCs w:val="21"/>
              </w:rPr>
              <w:t>提供证书复印件并加盖供应商公章，否则</w:t>
            </w:r>
            <w:r>
              <w:rPr>
                <w:rFonts w:hint="eastAsia"/>
                <w:color w:val="auto"/>
                <w:sz w:val="21"/>
                <w:szCs w:val="21"/>
                <w:lang w:eastAsia="zh-CN"/>
              </w:rPr>
              <w:t>投标文件</w:t>
            </w:r>
            <w:r>
              <w:rPr>
                <w:rFonts w:hint="eastAsia"/>
                <w:color w:val="auto"/>
                <w:sz w:val="21"/>
                <w:szCs w:val="21"/>
              </w:rPr>
              <w:t>无效。</w:t>
            </w:r>
          </w:p>
        </w:tc>
        <w:tc>
          <w:tcPr>
            <w:tcW w:w="614" w:type="dxa"/>
            <w:vAlign w:val="center"/>
          </w:tcPr>
          <w:p w14:paraId="3DBA7EF7">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套</w:t>
            </w:r>
          </w:p>
        </w:tc>
        <w:tc>
          <w:tcPr>
            <w:tcW w:w="747" w:type="dxa"/>
            <w:vAlign w:val="center"/>
          </w:tcPr>
          <w:p w14:paraId="36A5930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1154</w:t>
            </w:r>
          </w:p>
        </w:tc>
        <w:tc>
          <w:tcPr>
            <w:tcW w:w="931" w:type="dxa"/>
            <w:vAlign w:val="center"/>
          </w:tcPr>
          <w:p w14:paraId="0905A64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45</w:t>
            </w:r>
          </w:p>
        </w:tc>
        <w:tc>
          <w:tcPr>
            <w:tcW w:w="931" w:type="dxa"/>
            <w:vAlign w:val="center"/>
          </w:tcPr>
          <w:p w14:paraId="38C95AA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51930</w:t>
            </w:r>
          </w:p>
        </w:tc>
      </w:tr>
      <w:tr w14:paraId="10EC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14C4AA59">
            <w:pPr>
              <w:widowControl/>
              <w:spacing w:line="400" w:lineRule="exact"/>
              <w:jc w:val="center"/>
              <w:rPr>
                <w:color w:val="auto"/>
                <w:kern w:val="0"/>
                <w:sz w:val="21"/>
                <w:szCs w:val="21"/>
              </w:rPr>
            </w:pPr>
            <w:r>
              <w:rPr>
                <w:color w:val="auto"/>
                <w:kern w:val="0"/>
                <w:sz w:val="21"/>
                <w:szCs w:val="21"/>
              </w:rPr>
              <w:t>2</w:t>
            </w:r>
          </w:p>
        </w:tc>
        <w:tc>
          <w:tcPr>
            <w:tcW w:w="951" w:type="dxa"/>
            <w:gridSpan w:val="2"/>
            <w:vAlign w:val="center"/>
          </w:tcPr>
          <w:p w14:paraId="57C7D8D8">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六类非屏蔽双绞网线</w:t>
            </w:r>
          </w:p>
        </w:tc>
        <w:tc>
          <w:tcPr>
            <w:tcW w:w="1843" w:type="dxa"/>
            <w:vAlign w:val="center"/>
          </w:tcPr>
          <w:p w14:paraId="28D6BF5F">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570C3837">
            <w:pPr>
              <w:spacing w:line="400" w:lineRule="exact"/>
              <w:jc w:val="left"/>
              <w:rPr>
                <w:rFonts w:hint="eastAsia"/>
                <w:color w:val="auto"/>
                <w:sz w:val="21"/>
                <w:szCs w:val="21"/>
                <w:lang w:eastAsia="zh-CN"/>
              </w:rPr>
            </w:pPr>
            <w:r>
              <w:rPr>
                <w:rFonts w:hint="eastAsia"/>
                <w:color w:val="auto"/>
                <w:sz w:val="21"/>
                <w:szCs w:val="21"/>
              </w:rPr>
              <w:t xml:space="preserve"> 产品要求：YD/T1019，U/UTP CAT.6 4×2×0.57，十字骨架，PVC护套灰色</w:t>
            </w:r>
            <w:r>
              <w:rPr>
                <w:rFonts w:hint="eastAsia"/>
                <w:color w:val="auto"/>
                <w:sz w:val="21"/>
                <w:szCs w:val="21"/>
                <w:lang w:eastAsia="zh-CN"/>
              </w:rPr>
              <w:t>。</w:t>
            </w:r>
          </w:p>
          <w:p w14:paraId="11C971ED">
            <w:pPr>
              <w:spacing w:line="400" w:lineRule="exact"/>
              <w:jc w:val="left"/>
              <w:rPr>
                <w:color w:val="auto"/>
                <w:sz w:val="21"/>
                <w:szCs w:val="21"/>
              </w:rPr>
            </w:pPr>
            <w:r>
              <w:rPr>
                <w:rFonts w:hint="eastAsia"/>
                <w:color w:val="auto"/>
                <w:sz w:val="21"/>
                <w:szCs w:val="21"/>
              </w:rPr>
              <w:t>产品参数：</w:t>
            </w:r>
          </w:p>
          <w:p w14:paraId="78245DE5">
            <w:pPr>
              <w:spacing w:line="400" w:lineRule="exact"/>
              <w:jc w:val="left"/>
              <w:rPr>
                <w:color w:val="auto"/>
                <w:sz w:val="21"/>
                <w:szCs w:val="21"/>
              </w:rPr>
            </w:pPr>
            <w:r>
              <w:rPr>
                <w:rFonts w:hint="eastAsia"/>
                <w:color w:val="auto"/>
                <w:sz w:val="21"/>
                <w:szCs w:val="21"/>
              </w:rPr>
              <w:t>★1、线缆本体上需印有厂商信息及YD/T1019标准中4.5产品标记中所要求的型式代号、线对规格代号及标准代号</w:t>
            </w:r>
          </w:p>
          <w:p w14:paraId="1293BA57">
            <w:pPr>
              <w:spacing w:line="400" w:lineRule="exact"/>
              <w:jc w:val="left"/>
              <w:rPr>
                <w:color w:val="auto"/>
                <w:sz w:val="21"/>
                <w:szCs w:val="21"/>
              </w:rPr>
            </w:pPr>
            <w:r>
              <w:rPr>
                <w:rFonts w:hint="eastAsia"/>
                <w:color w:val="auto"/>
                <w:sz w:val="21"/>
                <w:szCs w:val="21"/>
              </w:rPr>
              <w:t>★</w:t>
            </w:r>
            <w:r>
              <w:rPr>
                <w:rFonts w:hint="eastAsia"/>
                <w:color w:val="auto"/>
                <w:sz w:val="21"/>
                <w:szCs w:val="21"/>
                <w:lang w:val="en-US" w:eastAsia="zh-CN"/>
              </w:rPr>
              <w:t>2</w:t>
            </w:r>
            <w:r>
              <w:rPr>
                <w:rFonts w:hint="eastAsia"/>
                <w:color w:val="auto"/>
                <w:sz w:val="21"/>
                <w:szCs w:val="21"/>
              </w:rPr>
              <w:t>、标准：YD/T1019，型式及规格代号：HSYV-6 4×2×0.57；通过标准最高传输频率250MHz测试；单根导体直流电阻：≤9.5Ω/100m。</w:t>
            </w:r>
          </w:p>
          <w:p w14:paraId="48604F02">
            <w:pPr>
              <w:spacing w:line="400" w:lineRule="exact"/>
              <w:jc w:val="left"/>
              <w:rPr>
                <w:color w:val="auto"/>
                <w:sz w:val="21"/>
                <w:szCs w:val="21"/>
              </w:rPr>
            </w:pPr>
            <w:r>
              <w:rPr>
                <w:rFonts w:hint="eastAsia"/>
                <w:color w:val="auto"/>
                <w:sz w:val="21"/>
                <w:szCs w:val="21"/>
                <w:lang w:val="en-US" w:eastAsia="zh-CN"/>
              </w:rPr>
              <w:t>3</w:t>
            </w:r>
            <w:r>
              <w:rPr>
                <w:rFonts w:hint="eastAsia"/>
                <w:color w:val="auto"/>
                <w:sz w:val="21"/>
                <w:szCs w:val="21"/>
              </w:rPr>
              <w:t>、标称线对数：4，导体标称直径：</w:t>
            </w:r>
            <w:r>
              <w:rPr>
                <w:rFonts w:hint="eastAsia"/>
                <w:color w:val="auto"/>
                <w:sz w:val="21"/>
                <w:szCs w:val="21"/>
                <w:lang w:eastAsia="zh-CN"/>
              </w:rPr>
              <w:t>约</w:t>
            </w:r>
            <w:r>
              <w:rPr>
                <w:rFonts w:hint="eastAsia"/>
                <w:color w:val="auto"/>
                <w:sz w:val="21"/>
                <w:szCs w:val="21"/>
              </w:rPr>
              <w:t xml:space="preserve">0.57mm，导体名称：软圆铜线，绝缘：HDPE </w:t>
            </w:r>
          </w:p>
          <w:p w14:paraId="31C3CA6E">
            <w:pPr>
              <w:spacing w:line="400" w:lineRule="exact"/>
              <w:jc w:val="left"/>
              <w:rPr>
                <w:color w:val="auto"/>
                <w:sz w:val="21"/>
                <w:szCs w:val="21"/>
              </w:rPr>
            </w:pPr>
            <w:r>
              <w:rPr>
                <w:rFonts w:hint="eastAsia"/>
                <w:color w:val="auto"/>
                <w:sz w:val="21"/>
                <w:szCs w:val="21"/>
                <w:lang w:val="en-US" w:eastAsia="zh-CN"/>
              </w:rPr>
              <w:t>4</w:t>
            </w:r>
            <w:r>
              <w:rPr>
                <w:rFonts w:hint="eastAsia"/>
                <w:color w:val="auto"/>
                <w:sz w:val="21"/>
                <w:szCs w:val="21"/>
              </w:rPr>
              <w:t>、屏蔽方式：U/UTP，线对采用“十”字骨架隔离</w:t>
            </w:r>
          </w:p>
          <w:p w14:paraId="3F39BB79">
            <w:pPr>
              <w:spacing w:line="400" w:lineRule="exact"/>
              <w:jc w:val="left"/>
              <w:rPr>
                <w:color w:val="auto"/>
                <w:sz w:val="21"/>
                <w:szCs w:val="21"/>
              </w:rPr>
            </w:pPr>
            <w:r>
              <w:rPr>
                <w:rFonts w:hint="eastAsia"/>
                <w:color w:val="auto"/>
                <w:sz w:val="21"/>
                <w:szCs w:val="21"/>
              </w:rPr>
              <w:t>护套材料：PVC，护套外径：6.3±0.3mm，护套颜色：灰色</w:t>
            </w:r>
          </w:p>
          <w:p w14:paraId="24D9DECF">
            <w:pPr>
              <w:spacing w:line="400" w:lineRule="exact"/>
              <w:jc w:val="left"/>
              <w:rPr>
                <w:rFonts w:hint="eastAsia" w:eastAsia="宋体"/>
                <w:color w:val="auto"/>
                <w:sz w:val="21"/>
                <w:szCs w:val="21"/>
                <w:lang w:eastAsia="zh-CN"/>
              </w:rPr>
            </w:pPr>
            <w:r>
              <w:rPr>
                <w:rFonts w:hint="eastAsia"/>
                <w:color w:val="auto"/>
                <w:sz w:val="21"/>
                <w:szCs w:val="21"/>
                <w:lang w:val="en-US" w:eastAsia="zh-CN"/>
              </w:rPr>
              <w:t>5</w:t>
            </w:r>
            <w:r>
              <w:rPr>
                <w:rFonts w:hint="eastAsia"/>
                <w:color w:val="auto"/>
                <w:sz w:val="21"/>
                <w:szCs w:val="21"/>
              </w:rPr>
              <w:t>、最小内弯曲半径：安装时：8倍电缆外径，安装后：4倍电缆外径，敷设方式：钢管或阻燃硬质PVC管内、包装方式：305米</w:t>
            </w:r>
            <w:r>
              <w:rPr>
                <w:rFonts w:hint="eastAsia"/>
                <w:color w:val="auto"/>
                <w:sz w:val="21"/>
                <w:szCs w:val="21"/>
                <w:lang w:eastAsia="zh-CN"/>
              </w:rPr>
              <w:t>，</w:t>
            </w:r>
            <w:r>
              <w:rPr>
                <w:rFonts w:hint="eastAsia"/>
                <w:color w:val="auto"/>
                <w:sz w:val="21"/>
                <w:szCs w:val="21"/>
              </w:rPr>
              <w:t>使用场景：室内</w:t>
            </w:r>
            <w:r>
              <w:rPr>
                <w:rFonts w:hint="eastAsia"/>
                <w:color w:val="auto"/>
                <w:sz w:val="21"/>
                <w:szCs w:val="21"/>
                <w:lang w:eastAsia="zh-CN"/>
              </w:rPr>
              <w:t>。</w:t>
            </w:r>
          </w:p>
          <w:p w14:paraId="55457A79">
            <w:pPr>
              <w:spacing w:line="400" w:lineRule="exact"/>
              <w:jc w:val="left"/>
              <w:rPr>
                <w:color w:val="auto"/>
                <w:sz w:val="21"/>
                <w:szCs w:val="21"/>
              </w:rPr>
            </w:pPr>
            <w:r>
              <w:rPr>
                <w:rFonts w:hint="eastAsia"/>
                <w:color w:val="auto"/>
                <w:sz w:val="21"/>
                <w:szCs w:val="21"/>
              </w:rPr>
              <w:t>安装温度：不低于0℃，工作温度：-20℃～+60℃。</w:t>
            </w:r>
          </w:p>
          <w:p w14:paraId="6578548A">
            <w:pPr>
              <w:spacing w:line="400" w:lineRule="exact"/>
              <w:jc w:val="left"/>
              <w:rPr>
                <w:color w:val="auto"/>
                <w:sz w:val="21"/>
                <w:szCs w:val="21"/>
              </w:rPr>
            </w:pPr>
            <w:r>
              <w:rPr>
                <w:rFonts w:hint="eastAsia"/>
                <w:color w:val="auto"/>
                <w:sz w:val="21"/>
                <w:szCs w:val="21"/>
              </w:rPr>
              <w:t>★7、6类非屏蔽信道通过第三方通信/供电一体化连接方案性能评测（90W/1000Mbit/s/）并提供证书</w:t>
            </w:r>
          </w:p>
          <w:p w14:paraId="264652D6">
            <w:pPr>
              <w:spacing w:line="400" w:lineRule="exact"/>
              <w:jc w:val="left"/>
              <w:rPr>
                <w:rFonts w:ascii="宋体" w:hAnsi="宋体"/>
                <w:color w:val="auto"/>
                <w:sz w:val="21"/>
                <w:szCs w:val="21"/>
              </w:rPr>
            </w:pPr>
            <w:r>
              <w:rPr>
                <w:rFonts w:hint="eastAsia"/>
                <w:color w:val="auto"/>
                <w:sz w:val="21"/>
                <w:szCs w:val="21"/>
              </w:rPr>
              <w:t>★</w:t>
            </w:r>
            <w:r>
              <w:rPr>
                <w:rFonts w:hint="eastAsia"/>
                <w:color w:val="auto"/>
                <w:sz w:val="21"/>
                <w:szCs w:val="21"/>
                <w:lang w:val="en-US" w:eastAsia="zh-CN"/>
              </w:rPr>
              <w:t>8</w:t>
            </w:r>
            <w:r>
              <w:rPr>
                <w:rFonts w:hint="eastAsia"/>
                <w:color w:val="auto"/>
                <w:sz w:val="21"/>
                <w:szCs w:val="21"/>
              </w:rPr>
              <w:t>、产品传输性能符合5米短信道（二节点），9米短信道（三节点），14米短信道（四节点）,100米信道（六节点）和永久链路并提供第三方检验报告</w:t>
            </w:r>
          </w:p>
        </w:tc>
        <w:tc>
          <w:tcPr>
            <w:tcW w:w="614" w:type="dxa"/>
            <w:vAlign w:val="center"/>
          </w:tcPr>
          <w:p w14:paraId="72E49D74">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箱</w:t>
            </w:r>
          </w:p>
        </w:tc>
        <w:tc>
          <w:tcPr>
            <w:tcW w:w="747" w:type="dxa"/>
            <w:vAlign w:val="center"/>
          </w:tcPr>
          <w:p w14:paraId="47795072">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931" w:type="dxa"/>
            <w:vAlign w:val="center"/>
          </w:tcPr>
          <w:p w14:paraId="140FEF12">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1200</w:t>
            </w:r>
          </w:p>
        </w:tc>
        <w:tc>
          <w:tcPr>
            <w:tcW w:w="931" w:type="dxa"/>
            <w:vAlign w:val="center"/>
          </w:tcPr>
          <w:p w14:paraId="42534E38">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4800</w:t>
            </w:r>
          </w:p>
        </w:tc>
      </w:tr>
      <w:tr w14:paraId="11C5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60175412">
            <w:pPr>
              <w:widowControl/>
              <w:spacing w:line="400" w:lineRule="exact"/>
              <w:jc w:val="center"/>
              <w:rPr>
                <w:color w:val="auto"/>
                <w:kern w:val="0"/>
                <w:sz w:val="21"/>
                <w:szCs w:val="21"/>
              </w:rPr>
            </w:pPr>
            <w:r>
              <w:rPr>
                <w:color w:val="auto"/>
                <w:kern w:val="0"/>
                <w:sz w:val="21"/>
                <w:szCs w:val="21"/>
              </w:rPr>
              <w:t>3</w:t>
            </w:r>
          </w:p>
        </w:tc>
        <w:tc>
          <w:tcPr>
            <w:tcW w:w="951" w:type="dxa"/>
            <w:gridSpan w:val="2"/>
            <w:vAlign w:val="center"/>
          </w:tcPr>
          <w:p w14:paraId="7A01220F">
            <w:pPr>
              <w:widowControl/>
              <w:spacing w:line="400" w:lineRule="exact"/>
              <w:jc w:val="center"/>
              <w:rPr>
                <w:rFonts w:ascii="宋体" w:hAnsi="宋体" w:cs="宋体"/>
                <w:color w:val="auto"/>
                <w:kern w:val="0"/>
                <w:sz w:val="21"/>
                <w:szCs w:val="21"/>
              </w:rPr>
            </w:pPr>
            <w:r>
              <w:rPr>
                <w:rFonts w:ascii="宋体" w:hAnsi="宋体" w:cs="宋体"/>
                <w:color w:val="auto"/>
                <w:kern w:val="0"/>
                <w:sz w:val="21"/>
                <w:szCs w:val="21"/>
              </w:rPr>
              <w:t>12</w:t>
            </w:r>
            <w:r>
              <w:rPr>
                <w:rFonts w:hint="eastAsia" w:ascii="宋体" w:hAnsi="宋体" w:cs="宋体"/>
                <w:color w:val="auto"/>
                <w:kern w:val="0"/>
                <w:sz w:val="21"/>
                <w:szCs w:val="21"/>
              </w:rPr>
              <w:t>芯室外光缆（单模）</w:t>
            </w:r>
          </w:p>
        </w:tc>
        <w:tc>
          <w:tcPr>
            <w:tcW w:w="1843" w:type="dxa"/>
            <w:vAlign w:val="center"/>
          </w:tcPr>
          <w:p w14:paraId="18848C64">
            <w:pPr>
              <w:spacing w:line="400" w:lineRule="exact"/>
              <w:jc w:val="center"/>
              <w:rPr>
                <w:rFonts w:ascii="宋体" w:hAnsi="宋体"/>
                <w:color w:val="auto"/>
                <w:sz w:val="21"/>
                <w:szCs w:val="21"/>
              </w:rPr>
            </w:pPr>
            <w:r>
              <w:rPr>
                <w:rFonts w:hint="eastAsia"/>
                <w:color w:val="auto"/>
                <w:sz w:val="21"/>
                <w:szCs w:val="21"/>
              </w:rPr>
              <w:t>罗格朗、德特威勒、一舟或同等级以上档次品牌</w:t>
            </w:r>
          </w:p>
        </w:tc>
        <w:tc>
          <w:tcPr>
            <w:tcW w:w="4244" w:type="dxa"/>
            <w:vAlign w:val="center"/>
          </w:tcPr>
          <w:p w14:paraId="300AA462">
            <w:pPr>
              <w:spacing w:line="400" w:lineRule="exact"/>
              <w:jc w:val="left"/>
              <w:rPr>
                <w:color w:val="auto"/>
                <w:sz w:val="21"/>
                <w:szCs w:val="21"/>
              </w:rPr>
            </w:pPr>
            <w:r>
              <w:rPr>
                <w:rFonts w:hint="eastAsia"/>
                <w:color w:val="auto"/>
                <w:sz w:val="21"/>
                <w:szCs w:val="21"/>
              </w:rPr>
              <w:t xml:space="preserve">  产品要求：YD/T769，GYXTW，12芯B1.3，室外中心束管轻铠光缆 </w:t>
            </w:r>
          </w:p>
          <w:p w14:paraId="23510517">
            <w:pPr>
              <w:spacing w:line="400" w:lineRule="exact"/>
              <w:jc w:val="left"/>
              <w:rPr>
                <w:color w:val="auto"/>
                <w:sz w:val="21"/>
                <w:szCs w:val="21"/>
              </w:rPr>
            </w:pPr>
            <w:r>
              <w:rPr>
                <w:rFonts w:hint="eastAsia"/>
                <w:color w:val="auto"/>
                <w:sz w:val="21"/>
                <w:szCs w:val="21"/>
              </w:rPr>
              <w:t>1、标准：YD/T769，全截面阻水结构，松套管填充纤膏，松套管和钢带之间填充缆膏，确保良好的阻水防潮性能</w:t>
            </w:r>
          </w:p>
          <w:p w14:paraId="763D13C0">
            <w:pPr>
              <w:spacing w:line="400" w:lineRule="exact"/>
              <w:jc w:val="left"/>
              <w:rPr>
                <w:color w:val="auto"/>
                <w:sz w:val="21"/>
                <w:szCs w:val="21"/>
              </w:rPr>
            </w:pPr>
            <w:r>
              <w:rPr>
                <w:rFonts w:hint="eastAsia"/>
                <w:color w:val="auto"/>
                <w:sz w:val="21"/>
                <w:szCs w:val="21"/>
              </w:rPr>
              <w:t>光纤规格、衰减＠20℃（dB/Km）：单模：B1.3、＠1310nm≤0.36，＠1550nm≤0.22；多模：A1a.1（OM2）/A1a.2（OM3）/A1a.3（OM4）、＠850nm≤3.0，＠1300nm≤1.0</w:t>
            </w:r>
          </w:p>
          <w:p w14:paraId="202BA922">
            <w:pPr>
              <w:spacing w:line="400" w:lineRule="exact"/>
              <w:jc w:val="left"/>
              <w:rPr>
                <w:color w:val="auto"/>
                <w:sz w:val="21"/>
                <w:szCs w:val="21"/>
              </w:rPr>
            </w:pPr>
            <w:r>
              <w:rPr>
                <w:rFonts w:hint="eastAsia"/>
                <w:color w:val="auto"/>
                <w:sz w:val="21"/>
                <w:szCs w:val="21"/>
              </w:rPr>
              <w:t>2、护套：夹带钢丝的钢-聚乙烯粘结护套，MDPE，黑色，护套外径(mm)：8.0±0.2（12芯及以下），允许拉伸力：长期：≥600N，短期：≥1500N，允许压扁力：长期：≥300N/100mm，短期：≥1000N/100mm，最小弯曲半径：动态：20D，静态：10D，敷设方式：管道、非自承架空</w:t>
            </w:r>
          </w:p>
          <w:p w14:paraId="460444E8">
            <w:pPr>
              <w:spacing w:line="400" w:lineRule="exact"/>
              <w:jc w:val="left"/>
              <w:rPr>
                <w:rFonts w:hint="eastAsia" w:eastAsia="宋体"/>
                <w:color w:val="auto"/>
                <w:sz w:val="21"/>
                <w:szCs w:val="21"/>
                <w:lang w:val="en-US" w:eastAsia="zh-CN"/>
              </w:rPr>
            </w:pPr>
            <w:r>
              <w:rPr>
                <w:rFonts w:hint="eastAsia"/>
                <w:color w:val="auto"/>
                <w:sz w:val="21"/>
                <w:szCs w:val="21"/>
              </w:rPr>
              <w:t>工作温度：-</w:t>
            </w:r>
            <w:r>
              <w:rPr>
                <w:rFonts w:hint="eastAsia"/>
                <w:color w:val="auto"/>
                <w:sz w:val="21"/>
                <w:szCs w:val="21"/>
                <w:lang w:val="en-US" w:eastAsia="zh-CN"/>
              </w:rPr>
              <w:t>1</w:t>
            </w:r>
            <w:r>
              <w:rPr>
                <w:rFonts w:hint="eastAsia"/>
                <w:color w:val="auto"/>
                <w:sz w:val="21"/>
                <w:szCs w:val="21"/>
              </w:rPr>
              <w:t>0℃～+60℃</w:t>
            </w:r>
            <w:r>
              <w:rPr>
                <w:rFonts w:hint="eastAsia"/>
                <w:color w:val="auto"/>
                <w:sz w:val="21"/>
                <w:szCs w:val="21"/>
                <w:lang w:eastAsia="zh-CN"/>
              </w:rPr>
              <w:t>。</w:t>
            </w:r>
          </w:p>
          <w:p w14:paraId="2CD46408">
            <w:pPr>
              <w:spacing w:line="400" w:lineRule="exact"/>
              <w:jc w:val="left"/>
              <w:rPr>
                <w:rFonts w:ascii="宋体" w:hAnsi="宋体"/>
                <w:color w:val="auto"/>
                <w:sz w:val="21"/>
                <w:szCs w:val="21"/>
              </w:rPr>
            </w:pPr>
            <w:r>
              <w:rPr>
                <w:rFonts w:hint="eastAsia"/>
                <w:color w:val="auto"/>
                <w:sz w:val="21"/>
                <w:szCs w:val="21"/>
              </w:rPr>
              <w:t>★3提供符合YD/T769-2018标准的GYXTW12B1.3或所投芯数的具有CMA及CNAS</w:t>
            </w:r>
            <w:r>
              <w:rPr>
                <w:rFonts w:hint="eastAsia"/>
                <w:color w:val="auto"/>
                <w:sz w:val="21"/>
                <w:szCs w:val="21"/>
                <w:lang w:eastAsia="zh-CN"/>
              </w:rPr>
              <w:t>，投标时须提供</w:t>
            </w:r>
            <w:r>
              <w:rPr>
                <w:rFonts w:hint="eastAsia"/>
                <w:color w:val="auto"/>
                <w:sz w:val="21"/>
                <w:szCs w:val="21"/>
              </w:rPr>
              <w:t>第三方检验报告复印件并加盖供应商公章，否则</w:t>
            </w:r>
            <w:r>
              <w:rPr>
                <w:rFonts w:hint="eastAsia"/>
                <w:color w:val="auto"/>
                <w:sz w:val="21"/>
                <w:szCs w:val="21"/>
                <w:lang w:eastAsia="zh-CN"/>
              </w:rPr>
              <w:t>投标文件</w:t>
            </w:r>
            <w:r>
              <w:rPr>
                <w:rFonts w:hint="eastAsia"/>
                <w:color w:val="auto"/>
                <w:sz w:val="21"/>
                <w:szCs w:val="21"/>
              </w:rPr>
              <w:t>无效。</w:t>
            </w:r>
          </w:p>
        </w:tc>
        <w:tc>
          <w:tcPr>
            <w:tcW w:w="614" w:type="dxa"/>
            <w:vAlign w:val="center"/>
          </w:tcPr>
          <w:p w14:paraId="6B0E4206">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747" w:type="dxa"/>
            <w:vAlign w:val="center"/>
          </w:tcPr>
          <w:p w14:paraId="1D07C616">
            <w:pPr>
              <w:spacing w:line="400" w:lineRule="exact"/>
              <w:jc w:val="center"/>
              <w:rPr>
                <w:rFonts w:ascii="宋体" w:hAnsi="宋体" w:cs="宋体"/>
                <w:color w:val="auto"/>
                <w:sz w:val="21"/>
                <w:szCs w:val="21"/>
              </w:rPr>
            </w:pPr>
            <w:r>
              <w:rPr>
                <w:rFonts w:hint="eastAsia" w:ascii="宋体" w:hAnsi="宋体" w:cs="宋体"/>
                <w:color w:val="auto"/>
                <w:sz w:val="21"/>
                <w:szCs w:val="21"/>
              </w:rPr>
              <w:t>300</w:t>
            </w:r>
          </w:p>
        </w:tc>
        <w:tc>
          <w:tcPr>
            <w:tcW w:w="931" w:type="dxa"/>
            <w:vAlign w:val="center"/>
          </w:tcPr>
          <w:p w14:paraId="4E46EEAB">
            <w:pPr>
              <w:spacing w:line="400" w:lineRule="exact"/>
              <w:jc w:val="center"/>
              <w:rPr>
                <w:rFonts w:ascii="宋体" w:hAnsi="宋体" w:cs="宋体"/>
                <w:color w:val="auto"/>
                <w:sz w:val="21"/>
                <w:szCs w:val="21"/>
              </w:rPr>
            </w:pPr>
            <w:r>
              <w:rPr>
                <w:rFonts w:hint="eastAsia" w:ascii="宋体" w:hAnsi="宋体" w:cs="宋体"/>
                <w:color w:val="auto"/>
                <w:sz w:val="21"/>
                <w:szCs w:val="21"/>
              </w:rPr>
              <w:t>6</w:t>
            </w:r>
          </w:p>
        </w:tc>
        <w:tc>
          <w:tcPr>
            <w:tcW w:w="931" w:type="dxa"/>
            <w:vAlign w:val="center"/>
          </w:tcPr>
          <w:p w14:paraId="123EE433">
            <w:pPr>
              <w:spacing w:line="400" w:lineRule="exact"/>
              <w:jc w:val="center"/>
              <w:rPr>
                <w:rFonts w:ascii="宋体" w:hAnsi="宋体" w:cs="宋体"/>
                <w:color w:val="auto"/>
                <w:sz w:val="21"/>
                <w:szCs w:val="21"/>
              </w:rPr>
            </w:pPr>
            <w:r>
              <w:rPr>
                <w:rFonts w:hint="eastAsia" w:ascii="宋体" w:hAnsi="宋体" w:cs="宋体"/>
                <w:color w:val="auto"/>
                <w:sz w:val="21"/>
                <w:szCs w:val="21"/>
              </w:rPr>
              <w:t>1800</w:t>
            </w:r>
          </w:p>
        </w:tc>
      </w:tr>
      <w:tr w14:paraId="026B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5C2A230">
            <w:pPr>
              <w:widowControl/>
              <w:spacing w:line="400" w:lineRule="exact"/>
              <w:jc w:val="center"/>
              <w:rPr>
                <w:color w:val="auto"/>
                <w:kern w:val="0"/>
                <w:sz w:val="21"/>
                <w:szCs w:val="21"/>
              </w:rPr>
            </w:pPr>
            <w:r>
              <w:rPr>
                <w:color w:val="auto"/>
                <w:kern w:val="0"/>
                <w:sz w:val="21"/>
                <w:szCs w:val="21"/>
              </w:rPr>
              <w:t>4</w:t>
            </w:r>
          </w:p>
        </w:tc>
        <w:tc>
          <w:tcPr>
            <w:tcW w:w="951" w:type="dxa"/>
            <w:gridSpan w:val="2"/>
            <w:vAlign w:val="center"/>
          </w:tcPr>
          <w:p w14:paraId="26D4EB93">
            <w:pPr>
              <w:widowControl/>
              <w:spacing w:line="400" w:lineRule="exact"/>
              <w:jc w:val="center"/>
              <w:rPr>
                <w:rFonts w:ascii="宋体" w:hAnsi="宋体" w:cs="宋体"/>
                <w:color w:val="auto"/>
                <w:sz w:val="21"/>
                <w:szCs w:val="21"/>
              </w:rPr>
            </w:pPr>
            <w:r>
              <w:rPr>
                <w:rFonts w:ascii="宋体" w:hAnsi="宋体" w:cs="宋体"/>
                <w:color w:val="auto"/>
                <w:sz w:val="21"/>
                <w:szCs w:val="21"/>
              </w:rPr>
              <w:t>24</w:t>
            </w:r>
            <w:r>
              <w:rPr>
                <w:rFonts w:hint="eastAsia" w:ascii="宋体" w:hAnsi="宋体" w:cs="宋体"/>
                <w:color w:val="auto"/>
                <w:sz w:val="21"/>
                <w:szCs w:val="21"/>
              </w:rPr>
              <w:t>芯室外光缆（单模）</w:t>
            </w:r>
          </w:p>
        </w:tc>
        <w:tc>
          <w:tcPr>
            <w:tcW w:w="1843" w:type="dxa"/>
            <w:vAlign w:val="center"/>
          </w:tcPr>
          <w:p w14:paraId="515E1B9A">
            <w:pPr>
              <w:widowControl/>
              <w:spacing w:line="400" w:lineRule="exact"/>
              <w:jc w:val="center"/>
              <w:rPr>
                <w:rFonts w:ascii="宋体" w:hAnsi="宋体" w:cs="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746FC0BA">
            <w:pPr>
              <w:numPr>
                <w:ilvl w:val="0"/>
                <w:numId w:val="3"/>
              </w:numPr>
              <w:spacing w:line="400" w:lineRule="exact"/>
              <w:jc w:val="left"/>
              <w:rPr>
                <w:rFonts w:hint="eastAsia" w:ascii="宋体" w:hAnsi="宋体"/>
                <w:color w:val="auto"/>
                <w:sz w:val="21"/>
                <w:szCs w:val="21"/>
                <w:lang w:eastAsia="zh-CN"/>
              </w:rPr>
            </w:pPr>
            <w:r>
              <w:rPr>
                <w:rFonts w:hint="eastAsia" w:ascii="宋体" w:hAnsi="宋体"/>
                <w:color w:val="auto"/>
                <w:sz w:val="21"/>
                <w:szCs w:val="21"/>
              </w:rPr>
              <w:t>标准：YD/T769，ISO/IEC11801</w:t>
            </w:r>
            <w:r>
              <w:rPr>
                <w:rFonts w:hint="eastAsia" w:ascii="宋体" w:hAnsi="宋体"/>
                <w:color w:val="auto"/>
                <w:sz w:val="21"/>
                <w:szCs w:val="21"/>
                <w:lang w:eastAsia="zh-CN"/>
              </w:rPr>
              <w:t>。</w:t>
            </w:r>
          </w:p>
          <w:p w14:paraId="4E047F05">
            <w:pPr>
              <w:numPr>
                <w:ilvl w:val="0"/>
                <w:numId w:val="0"/>
              </w:num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、全截面阻水结构，松套管填充纤膏，松套管和钢带之间填充缆膏，确保良好的阻水防潮性能</w:t>
            </w:r>
            <w:r>
              <w:rPr>
                <w:rFonts w:hint="eastAsia" w:ascii="宋体" w:hAnsi="宋体"/>
                <w:color w:val="auto"/>
                <w:sz w:val="21"/>
                <w:szCs w:val="21"/>
                <w:lang w:val="en-US" w:eastAsia="zh-CN"/>
              </w:rPr>
              <w:t>;</w:t>
            </w:r>
          </w:p>
          <w:p w14:paraId="1D89B9A9">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光纤规格、衰减＠20℃（dB/Km）：B1.3、＠1310nm≤0.36，＠1550nm≤0.22</w:t>
            </w:r>
            <w:r>
              <w:rPr>
                <w:rFonts w:hint="eastAsia" w:ascii="宋体" w:hAnsi="宋体"/>
                <w:color w:val="auto"/>
                <w:sz w:val="21"/>
                <w:szCs w:val="21"/>
                <w:lang w:val="en-US" w:eastAsia="zh-CN"/>
              </w:rPr>
              <w:t>;</w:t>
            </w:r>
          </w:p>
          <w:p w14:paraId="47A44FE0">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护套：夹带钢丝的钢-聚乙烯粘结护套，MDPE，黑色</w:t>
            </w:r>
            <w:r>
              <w:rPr>
                <w:rFonts w:hint="eastAsia" w:ascii="宋体" w:hAnsi="宋体"/>
                <w:color w:val="auto"/>
                <w:sz w:val="21"/>
                <w:szCs w:val="21"/>
                <w:lang w:val="en-US" w:eastAsia="zh-CN"/>
              </w:rPr>
              <w:t>;</w:t>
            </w:r>
          </w:p>
          <w:p w14:paraId="05992928">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、允许拉伸力：长期：600N，短期：1500N</w:t>
            </w:r>
            <w:r>
              <w:rPr>
                <w:rFonts w:hint="eastAsia" w:ascii="宋体" w:hAnsi="宋体"/>
                <w:color w:val="auto"/>
                <w:sz w:val="21"/>
                <w:szCs w:val="21"/>
                <w:lang w:val="en-US" w:eastAsia="zh-CN"/>
              </w:rPr>
              <w:t>;</w:t>
            </w:r>
          </w:p>
          <w:p w14:paraId="5FCCA2C5">
            <w:pPr>
              <w:spacing w:line="400" w:lineRule="exact"/>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、允许压扁力：长期：300N/100mm，短期：1000N/100mm</w:t>
            </w:r>
          </w:p>
          <w:p w14:paraId="488D4518">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5、最小弯曲半径：动态：20D，静态：10D</w:t>
            </w:r>
            <w:r>
              <w:rPr>
                <w:rFonts w:hint="eastAsia" w:ascii="宋体" w:hAnsi="宋体"/>
                <w:color w:val="auto"/>
                <w:sz w:val="21"/>
                <w:szCs w:val="21"/>
                <w:lang w:val="en-US" w:eastAsia="zh-CN"/>
              </w:rPr>
              <w:t>;</w:t>
            </w:r>
          </w:p>
          <w:p w14:paraId="6EA08847">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6、敷设方式：管道、非自承架空</w:t>
            </w:r>
            <w:r>
              <w:rPr>
                <w:rFonts w:hint="eastAsia" w:ascii="宋体" w:hAnsi="宋体"/>
                <w:color w:val="auto"/>
                <w:sz w:val="21"/>
                <w:szCs w:val="21"/>
                <w:lang w:val="en-US" w:eastAsia="zh-CN"/>
              </w:rPr>
              <w:t>;</w:t>
            </w:r>
          </w:p>
          <w:p w14:paraId="1F98EE7A">
            <w:pPr>
              <w:spacing w:line="400" w:lineRule="exact"/>
              <w:jc w:val="left"/>
              <w:rPr>
                <w:rFonts w:hint="eastAsia" w:ascii="宋体" w:hAnsi="宋体" w:eastAsia="宋体"/>
                <w:color w:val="auto"/>
                <w:sz w:val="21"/>
                <w:szCs w:val="21"/>
                <w:lang w:val="en-US" w:eastAsia="zh-CN"/>
              </w:rPr>
            </w:pPr>
            <w:r>
              <w:rPr>
                <w:rFonts w:hint="eastAsia" w:ascii="宋体" w:hAnsi="宋体"/>
                <w:color w:val="auto"/>
                <w:sz w:val="21"/>
                <w:szCs w:val="21"/>
              </w:rPr>
              <w:t>7、工作温度：-</w:t>
            </w:r>
            <w:r>
              <w:rPr>
                <w:rFonts w:hint="eastAsia" w:ascii="宋体" w:hAnsi="宋体"/>
                <w:color w:val="auto"/>
                <w:sz w:val="21"/>
                <w:szCs w:val="21"/>
                <w:lang w:val="en-US" w:eastAsia="zh-CN"/>
              </w:rPr>
              <w:t>10</w:t>
            </w:r>
            <w:r>
              <w:rPr>
                <w:rFonts w:hint="eastAsia" w:ascii="宋体" w:hAnsi="宋体"/>
                <w:color w:val="auto"/>
                <w:sz w:val="21"/>
                <w:szCs w:val="21"/>
              </w:rPr>
              <w:t>℃～+60℃</w:t>
            </w:r>
            <w:r>
              <w:rPr>
                <w:rFonts w:hint="eastAsia" w:ascii="宋体" w:hAnsi="宋体"/>
                <w:color w:val="auto"/>
                <w:sz w:val="21"/>
                <w:szCs w:val="21"/>
                <w:lang w:eastAsia="zh-CN"/>
              </w:rPr>
              <w:t>。</w:t>
            </w:r>
          </w:p>
        </w:tc>
        <w:tc>
          <w:tcPr>
            <w:tcW w:w="614" w:type="dxa"/>
            <w:vAlign w:val="center"/>
          </w:tcPr>
          <w:p w14:paraId="49017A56">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747" w:type="dxa"/>
            <w:vAlign w:val="center"/>
          </w:tcPr>
          <w:p w14:paraId="58BF220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931" w:type="dxa"/>
            <w:vAlign w:val="center"/>
          </w:tcPr>
          <w:p w14:paraId="3789A99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931" w:type="dxa"/>
            <w:vAlign w:val="center"/>
          </w:tcPr>
          <w:p w14:paraId="373B8BB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120</w:t>
            </w:r>
          </w:p>
        </w:tc>
      </w:tr>
      <w:tr w14:paraId="23A7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6575EA32">
            <w:pPr>
              <w:widowControl/>
              <w:spacing w:line="400" w:lineRule="exact"/>
              <w:jc w:val="center"/>
              <w:rPr>
                <w:color w:val="auto"/>
                <w:kern w:val="0"/>
                <w:sz w:val="21"/>
                <w:szCs w:val="21"/>
              </w:rPr>
            </w:pPr>
            <w:r>
              <w:rPr>
                <w:color w:val="auto"/>
                <w:kern w:val="0"/>
                <w:sz w:val="21"/>
                <w:szCs w:val="21"/>
              </w:rPr>
              <w:t>5</w:t>
            </w:r>
          </w:p>
        </w:tc>
        <w:tc>
          <w:tcPr>
            <w:tcW w:w="951" w:type="dxa"/>
            <w:gridSpan w:val="2"/>
            <w:vAlign w:val="center"/>
          </w:tcPr>
          <w:p w14:paraId="77A676C6">
            <w:pPr>
              <w:spacing w:line="400" w:lineRule="exact"/>
              <w:jc w:val="center"/>
              <w:rPr>
                <w:rFonts w:ascii="宋体" w:hAnsi="宋体" w:cs="宋体"/>
                <w:color w:val="auto"/>
                <w:sz w:val="21"/>
                <w:szCs w:val="21"/>
              </w:rPr>
            </w:pPr>
            <w:r>
              <w:rPr>
                <w:rFonts w:hint="eastAsia"/>
                <w:color w:val="auto"/>
                <w:sz w:val="21"/>
                <w:szCs w:val="21"/>
              </w:rPr>
              <w:t xml:space="preserve"> 24口全千兆接入交换机  </w:t>
            </w:r>
          </w:p>
        </w:tc>
        <w:tc>
          <w:tcPr>
            <w:tcW w:w="1843" w:type="dxa"/>
            <w:vAlign w:val="center"/>
          </w:tcPr>
          <w:p w14:paraId="48278F60">
            <w:pPr>
              <w:spacing w:line="400" w:lineRule="exact"/>
              <w:rPr>
                <w:rFonts w:ascii="宋体" w:hAnsi="宋体" w:cs="宋体"/>
                <w:color w:val="auto"/>
                <w:sz w:val="21"/>
                <w:szCs w:val="21"/>
              </w:rPr>
            </w:pPr>
            <w:r>
              <w:rPr>
                <w:rFonts w:hint="eastAsia"/>
                <w:color w:val="auto"/>
                <w:sz w:val="21"/>
                <w:szCs w:val="21"/>
              </w:rPr>
              <w:t>华为、新华三、锐捷</w:t>
            </w:r>
          </w:p>
        </w:tc>
        <w:tc>
          <w:tcPr>
            <w:tcW w:w="4244" w:type="dxa"/>
            <w:vAlign w:val="center"/>
          </w:tcPr>
          <w:p w14:paraId="30B4430C">
            <w:pPr>
              <w:spacing w:line="400" w:lineRule="exact"/>
              <w:rPr>
                <w:rFonts w:hint="eastAsia" w:ascii="宋体" w:hAnsi="宋体" w:eastAsia="宋体" w:cs="宋体"/>
                <w:color w:val="auto"/>
                <w:sz w:val="21"/>
                <w:szCs w:val="21"/>
                <w:lang w:val="en-US" w:eastAsia="zh-CN"/>
              </w:rPr>
            </w:pPr>
            <w:r>
              <w:rPr>
                <w:rFonts w:hint="eastAsia"/>
                <w:color w:val="auto"/>
                <w:sz w:val="21"/>
                <w:szCs w:val="21"/>
              </w:rPr>
              <w:t>★1、设备性能：交换容量≥336Gbps, 包转发率≥50Mpps；</w:t>
            </w:r>
            <w:r>
              <w:rPr>
                <w:rFonts w:hint="eastAsia"/>
                <w:color w:val="auto"/>
                <w:sz w:val="21"/>
                <w:szCs w:val="21"/>
              </w:rPr>
              <w:br w:type="textWrapping"/>
            </w:r>
            <w:r>
              <w:rPr>
                <w:rFonts w:hint="eastAsia"/>
                <w:color w:val="auto"/>
                <w:sz w:val="21"/>
                <w:szCs w:val="21"/>
              </w:rPr>
              <w:t>★2、设备配置：提供千兆电口≥24个,千兆SFP光口≥4个，交流电源供电；</w:t>
            </w:r>
            <w:r>
              <w:rPr>
                <w:rFonts w:hint="eastAsia"/>
                <w:color w:val="auto"/>
                <w:sz w:val="21"/>
                <w:szCs w:val="21"/>
              </w:rPr>
              <w:br w:type="textWrapping"/>
            </w:r>
            <w:r>
              <w:rPr>
                <w:rFonts w:hint="eastAsia"/>
                <w:color w:val="auto"/>
                <w:sz w:val="21"/>
                <w:szCs w:val="21"/>
              </w:rPr>
              <w:t>★3、规格表项：支持MAC地址≥16K，支持ARP表项≥4K，支持Ipv4 FIB表≥4K；</w:t>
            </w:r>
            <w:r>
              <w:rPr>
                <w:rFonts w:hint="eastAsia"/>
                <w:color w:val="auto"/>
                <w:sz w:val="21"/>
                <w:szCs w:val="21"/>
              </w:rPr>
              <w:br w:type="textWrapping"/>
            </w:r>
            <w:r>
              <w:rPr>
                <w:rFonts w:hint="eastAsia"/>
                <w:color w:val="auto"/>
                <w:sz w:val="21"/>
                <w:szCs w:val="21"/>
              </w:rPr>
              <w:t>★4、堆叠：支持智能 iStack 堆叠，将多台支持堆叠特性的交换机组合在一起，从逻辑上虚拟为一台交换机；</w:t>
            </w:r>
            <w:r>
              <w:rPr>
                <w:rFonts w:hint="eastAsia"/>
                <w:color w:val="auto"/>
                <w:sz w:val="21"/>
                <w:szCs w:val="21"/>
              </w:rPr>
              <w:br w:type="textWrapping"/>
            </w:r>
            <w:r>
              <w:rPr>
                <w:rFonts w:hint="eastAsia"/>
                <w:color w:val="auto"/>
                <w:sz w:val="21"/>
                <w:szCs w:val="21"/>
              </w:rPr>
              <w:t>5、虚拟化：支持纵向虚拟化，作为纵向子节点零配置即插即用；</w:t>
            </w:r>
            <w:r>
              <w:rPr>
                <w:rFonts w:hint="eastAsia"/>
                <w:color w:val="auto"/>
                <w:sz w:val="21"/>
                <w:szCs w:val="21"/>
              </w:rPr>
              <w:br w:type="textWrapping"/>
            </w:r>
            <w:r>
              <w:rPr>
                <w:rFonts w:hint="eastAsia"/>
                <w:color w:val="auto"/>
                <w:sz w:val="21"/>
                <w:szCs w:val="21"/>
              </w:rPr>
              <w:t>6、安全：支持防止DOS、ARP攻击功能、ICMP防攻击，支持DHCPv6 Snooping，DAI，SAVI等安全特性；</w:t>
            </w:r>
            <w:r>
              <w:rPr>
                <w:rFonts w:hint="eastAsia"/>
                <w:color w:val="auto"/>
                <w:sz w:val="21"/>
                <w:szCs w:val="21"/>
              </w:rPr>
              <w:br w:type="textWrapping"/>
            </w:r>
            <w:r>
              <w:rPr>
                <w:rFonts w:hint="eastAsia"/>
                <w:color w:val="auto"/>
                <w:sz w:val="21"/>
                <w:szCs w:val="21"/>
                <w:lang w:val="en-US" w:eastAsia="zh-CN"/>
              </w:rPr>
              <w:t>7</w:t>
            </w:r>
            <w:r>
              <w:rPr>
                <w:rFonts w:hint="eastAsia"/>
                <w:color w:val="auto"/>
                <w:sz w:val="21"/>
                <w:szCs w:val="21"/>
              </w:rPr>
              <w:t>、可用度：可用度满足 99.999%的电信级可靠性要求；</w:t>
            </w:r>
            <w:r>
              <w:rPr>
                <w:rFonts w:hint="eastAsia"/>
                <w:color w:val="auto"/>
                <w:sz w:val="21"/>
                <w:szCs w:val="21"/>
              </w:rPr>
              <w:br w:type="textWrapping"/>
            </w:r>
            <w:r>
              <w:rPr>
                <w:rFonts w:hint="eastAsia"/>
                <w:color w:val="auto"/>
                <w:sz w:val="21"/>
                <w:szCs w:val="21"/>
                <w:lang w:val="en-US" w:eastAsia="zh-CN"/>
              </w:rPr>
              <w:t>8</w:t>
            </w:r>
            <w:r>
              <w:rPr>
                <w:rFonts w:hint="eastAsia"/>
                <w:color w:val="auto"/>
                <w:sz w:val="21"/>
                <w:szCs w:val="21"/>
              </w:rPr>
              <w:t>、可靠性：支持以太网环网保护协议 ERPS，故障倒换时间小于50ms：</w:t>
            </w:r>
            <w:r>
              <w:rPr>
                <w:rFonts w:hint="eastAsia"/>
                <w:color w:val="auto"/>
                <w:sz w:val="21"/>
                <w:szCs w:val="21"/>
              </w:rPr>
              <w:br w:type="textWrapping"/>
            </w:r>
            <w:r>
              <w:rPr>
                <w:rFonts w:hint="eastAsia"/>
                <w:color w:val="auto"/>
                <w:sz w:val="21"/>
                <w:szCs w:val="21"/>
                <w:lang w:val="en-US" w:eastAsia="zh-CN"/>
              </w:rPr>
              <w:t>9</w:t>
            </w:r>
            <w:r>
              <w:rPr>
                <w:rFonts w:hint="eastAsia"/>
                <w:color w:val="auto"/>
                <w:sz w:val="21"/>
                <w:szCs w:val="21"/>
              </w:rPr>
              <w:t>、管理维护：支持 Telemetry 技术，配合网络分析组件通过智能故障识别算法对网络数据进行分析，精准展现网络实时状态，并能及时有效地定界故障以及定位故障发生原因</w:t>
            </w:r>
            <w:r>
              <w:rPr>
                <w:rFonts w:hint="eastAsia"/>
                <w:color w:val="auto"/>
                <w:sz w:val="21"/>
                <w:szCs w:val="21"/>
                <w:lang w:eastAsia="zh-CN"/>
              </w:rPr>
              <w:t>。</w:t>
            </w:r>
          </w:p>
        </w:tc>
        <w:tc>
          <w:tcPr>
            <w:tcW w:w="614" w:type="dxa"/>
            <w:vAlign w:val="center"/>
          </w:tcPr>
          <w:p w14:paraId="0E7CEFC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747" w:type="dxa"/>
            <w:vAlign w:val="center"/>
          </w:tcPr>
          <w:p w14:paraId="6A07D65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931" w:type="dxa"/>
            <w:vAlign w:val="center"/>
          </w:tcPr>
          <w:p w14:paraId="49B6F67D">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2800</w:t>
            </w:r>
          </w:p>
        </w:tc>
        <w:tc>
          <w:tcPr>
            <w:tcW w:w="931" w:type="dxa"/>
            <w:vAlign w:val="center"/>
          </w:tcPr>
          <w:p w14:paraId="0B1AF14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22400</w:t>
            </w:r>
          </w:p>
        </w:tc>
      </w:tr>
      <w:tr w14:paraId="2889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7D2D08F7">
            <w:pPr>
              <w:widowControl/>
              <w:spacing w:line="400" w:lineRule="exact"/>
              <w:jc w:val="center"/>
              <w:rPr>
                <w:color w:val="auto"/>
                <w:kern w:val="0"/>
                <w:sz w:val="21"/>
                <w:szCs w:val="21"/>
              </w:rPr>
            </w:pPr>
            <w:r>
              <w:rPr>
                <w:color w:val="auto"/>
                <w:kern w:val="0"/>
                <w:sz w:val="21"/>
                <w:szCs w:val="21"/>
              </w:rPr>
              <w:t>6</w:t>
            </w:r>
          </w:p>
        </w:tc>
        <w:tc>
          <w:tcPr>
            <w:tcW w:w="951" w:type="dxa"/>
            <w:gridSpan w:val="2"/>
            <w:vAlign w:val="center"/>
          </w:tcPr>
          <w:p w14:paraId="43BDD694">
            <w:pPr>
              <w:spacing w:line="400" w:lineRule="exact"/>
              <w:jc w:val="center"/>
              <w:rPr>
                <w:rFonts w:ascii="宋体" w:hAnsi="宋体" w:cs="宋体"/>
                <w:color w:val="auto"/>
                <w:sz w:val="21"/>
                <w:szCs w:val="21"/>
              </w:rPr>
            </w:pPr>
            <w:r>
              <w:rPr>
                <w:rFonts w:hint="eastAsia"/>
                <w:color w:val="auto"/>
                <w:sz w:val="21"/>
                <w:szCs w:val="21"/>
              </w:rPr>
              <w:t xml:space="preserve">  48口全千兆接入交换机 </w:t>
            </w:r>
          </w:p>
        </w:tc>
        <w:tc>
          <w:tcPr>
            <w:tcW w:w="1843" w:type="dxa"/>
            <w:vAlign w:val="center"/>
          </w:tcPr>
          <w:p w14:paraId="64DDC680">
            <w:pPr>
              <w:spacing w:line="400" w:lineRule="exact"/>
              <w:jc w:val="center"/>
              <w:rPr>
                <w:rFonts w:ascii="宋体" w:hAnsi="宋体" w:cs="宋体"/>
                <w:color w:val="auto"/>
                <w:sz w:val="21"/>
                <w:szCs w:val="21"/>
              </w:rPr>
            </w:pPr>
            <w:r>
              <w:rPr>
                <w:rFonts w:hint="eastAsia"/>
                <w:color w:val="auto"/>
                <w:sz w:val="21"/>
                <w:szCs w:val="21"/>
              </w:rPr>
              <w:t xml:space="preserve"> 华为、新华三、锐捷</w:t>
            </w:r>
          </w:p>
        </w:tc>
        <w:tc>
          <w:tcPr>
            <w:tcW w:w="4244" w:type="dxa"/>
            <w:vAlign w:val="center"/>
          </w:tcPr>
          <w:p w14:paraId="2B151B6E">
            <w:pPr>
              <w:spacing w:line="400" w:lineRule="exact"/>
              <w:rPr>
                <w:rFonts w:hint="eastAsia" w:ascii="宋体" w:hAnsi="宋体" w:eastAsia="宋体" w:cs="宋体"/>
                <w:color w:val="auto"/>
                <w:sz w:val="21"/>
                <w:szCs w:val="21"/>
                <w:lang w:val="en-US" w:eastAsia="zh-CN"/>
              </w:rPr>
            </w:pPr>
            <w:r>
              <w:rPr>
                <w:rFonts w:hint="eastAsia"/>
                <w:color w:val="auto"/>
                <w:sz w:val="21"/>
                <w:szCs w:val="21"/>
              </w:rPr>
              <w:t>★1、设备性能：交换容量≥400Gbps, 包转发率≥87Mpps；</w:t>
            </w:r>
            <w:r>
              <w:rPr>
                <w:rFonts w:hint="eastAsia"/>
                <w:color w:val="auto"/>
                <w:sz w:val="21"/>
                <w:szCs w:val="21"/>
              </w:rPr>
              <w:br w:type="textWrapping"/>
            </w:r>
            <w:r>
              <w:rPr>
                <w:rFonts w:hint="eastAsia"/>
                <w:color w:val="auto"/>
                <w:sz w:val="21"/>
                <w:szCs w:val="21"/>
              </w:rPr>
              <w:t>★2、设备配置：提供千兆电口≥48个,千兆SFP光口≥4个，交流电源供电；</w:t>
            </w:r>
            <w:r>
              <w:rPr>
                <w:rFonts w:hint="eastAsia"/>
                <w:color w:val="auto"/>
                <w:sz w:val="21"/>
                <w:szCs w:val="21"/>
              </w:rPr>
              <w:br w:type="textWrapping"/>
            </w:r>
            <w:r>
              <w:rPr>
                <w:rFonts w:hint="eastAsia"/>
                <w:color w:val="auto"/>
                <w:sz w:val="21"/>
                <w:szCs w:val="21"/>
              </w:rPr>
              <w:t>★3、堆叠：支持智能 iStack 堆叠，将多台支持堆叠特性的交换机组合在一起，从逻辑上虚拟为一台交换机；</w:t>
            </w:r>
            <w:r>
              <w:rPr>
                <w:rFonts w:hint="eastAsia"/>
                <w:color w:val="auto"/>
                <w:sz w:val="21"/>
                <w:szCs w:val="21"/>
              </w:rPr>
              <w:br w:type="textWrapping"/>
            </w:r>
            <w:r>
              <w:rPr>
                <w:rFonts w:hint="eastAsia"/>
                <w:color w:val="auto"/>
                <w:sz w:val="21"/>
                <w:szCs w:val="21"/>
              </w:rPr>
              <w:t>★4、规格表项：支持MAC地址≥16K，支持ARP表项≥4K，支持Ipv4 FIB表≥4K；</w:t>
            </w:r>
            <w:r>
              <w:rPr>
                <w:rFonts w:hint="eastAsia"/>
                <w:color w:val="auto"/>
                <w:sz w:val="21"/>
                <w:szCs w:val="21"/>
              </w:rPr>
              <w:br w:type="textWrapping"/>
            </w:r>
            <w:r>
              <w:rPr>
                <w:rFonts w:hint="eastAsia"/>
                <w:color w:val="auto"/>
                <w:sz w:val="21"/>
                <w:szCs w:val="21"/>
              </w:rPr>
              <w:t>5、工作环境：使用非工业级光模块情况下的长期工作环境温度范围：-5℃~50℃，长期工作环境相对湿度为 5%~95%，非凝露；</w:t>
            </w:r>
            <w:r>
              <w:rPr>
                <w:rFonts w:hint="eastAsia"/>
                <w:color w:val="auto"/>
                <w:sz w:val="21"/>
                <w:szCs w:val="21"/>
              </w:rPr>
              <w:br w:type="textWrapping"/>
            </w:r>
            <w:r>
              <w:rPr>
                <w:rFonts w:hint="eastAsia"/>
                <w:color w:val="auto"/>
                <w:sz w:val="21"/>
                <w:szCs w:val="21"/>
              </w:rPr>
              <w:t>6、虚拟化：支持纵向虚拟化，作为纵向子节点零配置即插即用；</w:t>
            </w:r>
            <w:r>
              <w:rPr>
                <w:rFonts w:hint="eastAsia"/>
                <w:color w:val="auto"/>
                <w:sz w:val="21"/>
                <w:szCs w:val="21"/>
              </w:rPr>
              <w:br w:type="textWrapping"/>
            </w:r>
            <w:r>
              <w:rPr>
                <w:rFonts w:hint="eastAsia"/>
                <w:color w:val="auto"/>
                <w:sz w:val="21"/>
                <w:szCs w:val="21"/>
              </w:rPr>
              <w:t>7、安全：安全：支持防止DOS、ARP攻击功能、ICMP防攻击，支持DHCPv6 Snooping，DAI，SAVI等安全特性；</w:t>
            </w:r>
            <w:r>
              <w:rPr>
                <w:rFonts w:hint="eastAsia"/>
                <w:color w:val="auto"/>
                <w:sz w:val="21"/>
                <w:szCs w:val="21"/>
              </w:rPr>
              <w:br w:type="textWrapping"/>
            </w:r>
            <w:r>
              <w:rPr>
                <w:rFonts w:hint="eastAsia"/>
                <w:color w:val="auto"/>
                <w:sz w:val="21"/>
                <w:szCs w:val="21"/>
              </w:rPr>
              <w:t>8、可靠性：支持 ERPS 以太环保护协议（G.8032），故障倒换时间小于50ms；</w:t>
            </w:r>
            <w:r>
              <w:rPr>
                <w:rFonts w:hint="eastAsia"/>
                <w:color w:val="auto"/>
                <w:sz w:val="21"/>
                <w:szCs w:val="21"/>
              </w:rPr>
              <w:br w:type="textWrapping"/>
            </w:r>
            <w:r>
              <w:rPr>
                <w:rFonts w:hint="eastAsia"/>
                <w:color w:val="auto"/>
                <w:sz w:val="21"/>
                <w:szCs w:val="21"/>
                <w:lang w:val="en-US" w:eastAsia="zh-CN"/>
              </w:rPr>
              <w:t>9</w:t>
            </w:r>
            <w:r>
              <w:rPr>
                <w:rFonts w:hint="eastAsia"/>
                <w:color w:val="auto"/>
                <w:sz w:val="21"/>
                <w:szCs w:val="21"/>
              </w:rPr>
              <w:t>、可用度：可用度满足 99.999%的电信级可靠性要求；</w:t>
            </w:r>
            <w:r>
              <w:rPr>
                <w:rFonts w:hint="eastAsia"/>
                <w:color w:val="auto"/>
                <w:sz w:val="21"/>
                <w:szCs w:val="21"/>
              </w:rPr>
              <w:br w:type="textWrapping"/>
            </w:r>
            <w:r>
              <w:rPr>
                <w:rFonts w:hint="eastAsia"/>
                <w:color w:val="auto"/>
                <w:sz w:val="21"/>
                <w:szCs w:val="21"/>
              </w:rPr>
              <w:t>1</w:t>
            </w:r>
            <w:r>
              <w:rPr>
                <w:rFonts w:hint="eastAsia"/>
                <w:color w:val="auto"/>
                <w:sz w:val="21"/>
                <w:szCs w:val="21"/>
                <w:lang w:val="en-US" w:eastAsia="zh-CN"/>
              </w:rPr>
              <w:t>0</w:t>
            </w:r>
            <w:r>
              <w:rPr>
                <w:rFonts w:hint="eastAsia"/>
                <w:color w:val="auto"/>
                <w:sz w:val="21"/>
                <w:szCs w:val="21"/>
              </w:rPr>
              <w:t>、管理维护：支持 Telemetry 技术，配合网络分析组件通过智能故障识别算法对网络数据进行分析，精准展现网络实时状态，并能及时有效地定界故障以及定位故障发生原因</w:t>
            </w:r>
            <w:r>
              <w:rPr>
                <w:rFonts w:hint="eastAsia"/>
                <w:color w:val="auto"/>
                <w:sz w:val="21"/>
                <w:szCs w:val="21"/>
                <w:lang w:eastAsia="zh-CN"/>
              </w:rPr>
              <w:t>。</w:t>
            </w:r>
          </w:p>
        </w:tc>
        <w:tc>
          <w:tcPr>
            <w:tcW w:w="614" w:type="dxa"/>
            <w:vAlign w:val="center"/>
          </w:tcPr>
          <w:p w14:paraId="63CA1942">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747" w:type="dxa"/>
            <w:vAlign w:val="center"/>
          </w:tcPr>
          <w:p w14:paraId="5B37F20F">
            <w:pPr>
              <w:spacing w:line="400" w:lineRule="exact"/>
              <w:jc w:val="center"/>
              <w:rPr>
                <w:rFonts w:ascii="宋体" w:hAnsi="宋体" w:cs="宋体"/>
                <w:color w:val="auto"/>
                <w:sz w:val="21"/>
                <w:szCs w:val="21"/>
              </w:rPr>
            </w:pPr>
            <w:r>
              <w:rPr>
                <w:rFonts w:hint="eastAsia" w:ascii="宋体" w:hAnsi="宋体" w:cs="宋体"/>
                <w:color w:val="auto"/>
                <w:sz w:val="21"/>
                <w:szCs w:val="21"/>
              </w:rPr>
              <w:t>4</w:t>
            </w:r>
          </w:p>
        </w:tc>
        <w:tc>
          <w:tcPr>
            <w:tcW w:w="931" w:type="dxa"/>
            <w:vAlign w:val="center"/>
          </w:tcPr>
          <w:p w14:paraId="0C4E17AC">
            <w:pPr>
              <w:spacing w:line="400" w:lineRule="exact"/>
              <w:jc w:val="center"/>
              <w:rPr>
                <w:rFonts w:ascii="宋体" w:hAnsi="宋体" w:cs="宋体"/>
                <w:color w:val="auto"/>
                <w:sz w:val="21"/>
                <w:szCs w:val="21"/>
              </w:rPr>
            </w:pPr>
            <w:r>
              <w:rPr>
                <w:rFonts w:hint="eastAsia" w:ascii="宋体" w:hAnsi="宋体" w:cs="宋体"/>
                <w:color w:val="auto"/>
                <w:sz w:val="21"/>
                <w:szCs w:val="21"/>
              </w:rPr>
              <w:t>3600</w:t>
            </w:r>
          </w:p>
        </w:tc>
        <w:tc>
          <w:tcPr>
            <w:tcW w:w="931" w:type="dxa"/>
            <w:vAlign w:val="center"/>
          </w:tcPr>
          <w:p w14:paraId="2AEEDC61">
            <w:pPr>
              <w:spacing w:line="400" w:lineRule="exact"/>
              <w:jc w:val="center"/>
              <w:rPr>
                <w:rFonts w:ascii="宋体" w:hAnsi="宋体" w:cs="宋体"/>
                <w:color w:val="auto"/>
                <w:sz w:val="21"/>
                <w:szCs w:val="21"/>
              </w:rPr>
            </w:pPr>
            <w:r>
              <w:rPr>
                <w:rFonts w:hint="eastAsia" w:ascii="宋体" w:hAnsi="宋体" w:cs="宋体"/>
                <w:color w:val="auto"/>
                <w:sz w:val="21"/>
                <w:szCs w:val="21"/>
              </w:rPr>
              <w:t>14400</w:t>
            </w:r>
          </w:p>
        </w:tc>
      </w:tr>
      <w:tr w14:paraId="284D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5585333">
            <w:pPr>
              <w:widowControl/>
              <w:spacing w:line="400" w:lineRule="exact"/>
              <w:jc w:val="center"/>
              <w:rPr>
                <w:color w:val="auto"/>
                <w:kern w:val="0"/>
                <w:sz w:val="21"/>
                <w:szCs w:val="21"/>
              </w:rPr>
            </w:pPr>
            <w:r>
              <w:rPr>
                <w:color w:val="auto"/>
                <w:kern w:val="0"/>
                <w:sz w:val="21"/>
                <w:szCs w:val="21"/>
              </w:rPr>
              <w:t>7</w:t>
            </w:r>
          </w:p>
        </w:tc>
        <w:tc>
          <w:tcPr>
            <w:tcW w:w="951" w:type="dxa"/>
            <w:gridSpan w:val="2"/>
            <w:vAlign w:val="center"/>
          </w:tcPr>
          <w:p w14:paraId="187C987B">
            <w:pPr>
              <w:spacing w:line="400" w:lineRule="exact"/>
              <w:jc w:val="center"/>
              <w:rPr>
                <w:rFonts w:ascii="宋体" w:hAnsi="宋体" w:cs="宋体"/>
                <w:color w:val="auto"/>
                <w:sz w:val="21"/>
                <w:szCs w:val="21"/>
              </w:rPr>
            </w:pPr>
            <w:r>
              <w:rPr>
                <w:rFonts w:hint="eastAsia"/>
                <w:color w:val="auto"/>
                <w:sz w:val="21"/>
                <w:szCs w:val="21"/>
              </w:rPr>
              <w:t xml:space="preserve"> 24口千兆接入万兆上行交换机</w:t>
            </w:r>
          </w:p>
        </w:tc>
        <w:tc>
          <w:tcPr>
            <w:tcW w:w="1843" w:type="dxa"/>
            <w:vAlign w:val="center"/>
          </w:tcPr>
          <w:p w14:paraId="7EF26F10">
            <w:pPr>
              <w:spacing w:line="400" w:lineRule="exact"/>
              <w:jc w:val="center"/>
              <w:rPr>
                <w:rFonts w:ascii="宋体" w:hAnsi="宋体" w:cs="宋体"/>
                <w:color w:val="auto"/>
                <w:sz w:val="21"/>
                <w:szCs w:val="21"/>
              </w:rPr>
            </w:pPr>
            <w:r>
              <w:rPr>
                <w:rFonts w:hint="eastAsia"/>
                <w:color w:val="auto"/>
                <w:sz w:val="21"/>
                <w:szCs w:val="21"/>
              </w:rPr>
              <w:t xml:space="preserve"> 华为、新华三、锐捷  </w:t>
            </w:r>
          </w:p>
        </w:tc>
        <w:tc>
          <w:tcPr>
            <w:tcW w:w="4244" w:type="dxa"/>
            <w:vAlign w:val="center"/>
          </w:tcPr>
          <w:p w14:paraId="359BA47C">
            <w:pPr>
              <w:spacing w:line="400" w:lineRule="exact"/>
              <w:rPr>
                <w:rFonts w:hint="eastAsia" w:ascii="宋体" w:hAnsi="宋体" w:eastAsia="宋体" w:cs="宋体"/>
                <w:color w:val="auto"/>
                <w:sz w:val="21"/>
                <w:szCs w:val="21"/>
                <w:lang w:eastAsia="zh-CN"/>
              </w:rPr>
            </w:pPr>
            <w:r>
              <w:rPr>
                <w:rFonts w:hint="eastAsia"/>
                <w:color w:val="auto"/>
                <w:sz w:val="21"/>
                <w:szCs w:val="21"/>
              </w:rPr>
              <w:t>★1、设备性能：交换容量≥336Gbps, 包转发率≥108Mpps；</w:t>
            </w:r>
            <w:r>
              <w:rPr>
                <w:rFonts w:hint="eastAsia"/>
                <w:color w:val="auto"/>
                <w:sz w:val="21"/>
                <w:szCs w:val="21"/>
              </w:rPr>
              <w:br w:type="textWrapping"/>
            </w:r>
            <w:r>
              <w:rPr>
                <w:rFonts w:hint="eastAsia"/>
                <w:color w:val="auto"/>
                <w:sz w:val="21"/>
                <w:szCs w:val="21"/>
              </w:rPr>
              <w:t>★2、设备配置：提供千兆电口≥24个,万兆SFP+光口≥4个，交流电源供电；</w:t>
            </w:r>
            <w:r>
              <w:rPr>
                <w:rFonts w:hint="eastAsia"/>
                <w:color w:val="auto"/>
                <w:sz w:val="21"/>
                <w:szCs w:val="21"/>
              </w:rPr>
              <w:br w:type="textWrapping"/>
            </w:r>
            <w:r>
              <w:rPr>
                <w:rFonts w:hint="eastAsia"/>
                <w:color w:val="auto"/>
                <w:sz w:val="21"/>
                <w:szCs w:val="21"/>
              </w:rPr>
              <w:t>★3、规格表项：支持MAC地址≥16K，支持ARP表项≥4K，支持Ipv4 FIB表≥4K；</w:t>
            </w:r>
            <w:r>
              <w:rPr>
                <w:rFonts w:hint="eastAsia"/>
                <w:color w:val="auto"/>
                <w:sz w:val="21"/>
                <w:szCs w:val="21"/>
              </w:rPr>
              <w:br w:type="textWrapping"/>
            </w:r>
            <w:r>
              <w:rPr>
                <w:rFonts w:hint="eastAsia"/>
                <w:color w:val="auto"/>
                <w:sz w:val="21"/>
                <w:szCs w:val="21"/>
              </w:rPr>
              <w:t>★4、堆叠：支持智能 iStack 堆叠，将多台支持堆叠特性的交换机组合在一起，从逻辑上虚拟为一台交换机；</w:t>
            </w:r>
            <w:r>
              <w:rPr>
                <w:rFonts w:hint="eastAsia"/>
                <w:color w:val="auto"/>
                <w:sz w:val="21"/>
                <w:szCs w:val="21"/>
              </w:rPr>
              <w:br w:type="textWrapping"/>
            </w:r>
            <w:r>
              <w:rPr>
                <w:rFonts w:hint="eastAsia"/>
                <w:color w:val="auto"/>
                <w:sz w:val="21"/>
                <w:szCs w:val="21"/>
              </w:rPr>
              <w:t>5、虚拟化：支持纵向虚拟化，作为纵向子节点零配置即插即用；</w:t>
            </w:r>
            <w:r>
              <w:rPr>
                <w:rFonts w:hint="eastAsia"/>
                <w:color w:val="auto"/>
                <w:sz w:val="21"/>
                <w:szCs w:val="21"/>
              </w:rPr>
              <w:br w:type="textWrapping"/>
            </w:r>
            <w:r>
              <w:rPr>
                <w:rFonts w:hint="eastAsia"/>
                <w:color w:val="auto"/>
                <w:sz w:val="21"/>
                <w:szCs w:val="21"/>
              </w:rPr>
              <w:t>6、安全：支持防止DOS、ARP攻击功能、ICMP防攻击，支持DHCPv6 Snooping，DAI，SAVI等安全特性；</w:t>
            </w:r>
            <w:r>
              <w:rPr>
                <w:rFonts w:hint="eastAsia"/>
                <w:color w:val="auto"/>
                <w:sz w:val="21"/>
                <w:szCs w:val="21"/>
              </w:rPr>
              <w:br w:type="textWrapping"/>
            </w:r>
            <w:r>
              <w:rPr>
                <w:rFonts w:hint="eastAsia"/>
                <w:color w:val="auto"/>
                <w:sz w:val="21"/>
                <w:szCs w:val="21"/>
                <w:lang w:val="en-US" w:eastAsia="zh-CN"/>
              </w:rPr>
              <w:t>7</w:t>
            </w:r>
            <w:r>
              <w:rPr>
                <w:rFonts w:hint="eastAsia"/>
                <w:color w:val="auto"/>
                <w:sz w:val="21"/>
                <w:szCs w:val="21"/>
              </w:rPr>
              <w:t>、可用度：可用度满足 99.999%的电信级可靠性要求；</w:t>
            </w:r>
            <w:r>
              <w:rPr>
                <w:rFonts w:hint="eastAsia"/>
                <w:color w:val="auto"/>
                <w:sz w:val="21"/>
                <w:szCs w:val="21"/>
              </w:rPr>
              <w:br w:type="textWrapping"/>
            </w:r>
            <w:r>
              <w:rPr>
                <w:rFonts w:hint="eastAsia"/>
                <w:color w:val="auto"/>
                <w:sz w:val="21"/>
                <w:szCs w:val="21"/>
                <w:lang w:val="en-US" w:eastAsia="zh-CN"/>
              </w:rPr>
              <w:t>8</w:t>
            </w:r>
            <w:r>
              <w:rPr>
                <w:rFonts w:hint="eastAsia"/>
                <w:color w:val="auto"/>
                <w:sz w:val="21"/>
                <w:szCs w:val="21"/>
              </w:rPr>
              <w:t>、可靠性：支持以太网环网保护协议 ERPS，故障倒换时间小于50ms：</w:t>
            </w:r>
            <w:r>
              <w:rPr>
                <w:rFonts w:hint="eastAsia"/>
                <w:color w:val="auto"/>
                <w:sz w:val="21"/>
                <w:szCs w:val="21"/>
              </w:rPr>
              <w:br w:type="textWrapping"/>
            </w:r>
            <w:r>
              <w:rPr>
                <w:rFonts w:hint="eastAsia"/>
                <w:color w:val="auto"/>
                <w:sz w:val="21"/>
                <w:szCs w:val="21"/>
                <w:lang w:val="en-US" w:eastAsia="zh-CN"/>
              </w:rPr>
              <w:t>9</w:t>
            </w:r>
            <w:r>
              <w:rPr>
                <w:rFonts w:hint="eastAsia"/>
                <w:color w:val="auto"/>
                <w:sz w:val="21"/>
                <w:szCs w:val="21"/>
              </w:rPr>
              <w:t>、管理维护：支持 Telemetry 技术，配合网络分析组件通过智能故障识别算法对网络数据进行分析，精准展现网络实时状态，并能及时有效地定界故障以及定位故障发生原因</w:t>
            </w:r>
            <w:r>
              <w:rPr>
                <w:rFonts w:hint="eastAsia"/>
                <w:color w:val="auto"/>
                <w:sz w:val="21"/>
                <w:szCs w:val="21"/>
                <w:lang w:eastAsia="zh-CN"/>
              </w:rPr>
              <w:t>。</w:t>
            </w:r>
          </w:p>
        </w:tc>
        <w:tc>
          <w:tcPr>
            <w:tcW w:w="614" w:type="dxa"/>
            <w:vAlign w:val="center"/>
          </w:tcPr>
          <w:p w14:paraId="2F0203A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747" w:type="dxa"/>
            <w:vAlign w:val="center"/>
          </w:tcPr>
          <w:p w14:paraId="7B524ED7">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1FA78B03">
            <w:pPr>
              <w:spacing w:line="400" w:lineRule="exact"/>
              <w:jc w:val="center"/>
              <w:rPr>
                <w:rFonts w:ascii="宋体" w:hAnsi="宋体" w:cs="宋体"/>
                <w:color w:val="auto"/>
                <w:sz w:val="21"/>
                <w:szCs w:val="21"/>
              </w:rPr>
            </w:pPr>
            <w:r>
              <w:rPr>
                <w:rFonts w:hint="eastAsia" w:ascii="宋体" w:hAnsi="宋体" w:cs="宋体"/>
                <w:color w:val="auto"/>
                <w:sz w:val="21"/>
                <w:szCs w:val="21"/>
              </w:rPr>
              <w:t>4000</w:t>
            </w:r>
          </w:p>
        </w:tc>
        <w:tc>
          <w:tcPr>
            <w:tcW w:w="931" w:type="dxa"/>
            <w:vAlign w:val="center"/>
          </w:tcPr>
          <w:p w14:paraId="798CC422">
            <w:pPr>
              <w:spacing w:line="400" w:lineRule="exact"/>
              <w:jc w:val="center"/>
              <w:rPr>
                <w:rFonts w:ascii="宋体" w:hAnsi="宋体" w:cs="宋体"/>
                <w:color w:val="auto"/>
                <w:sz w:val="21"/>
                <w:szCs w:val="21"/>
              </w:rPr>
            </w:pPr>
            <w:r>
              <w:rPr>
                <w:rFonts w:hint="eastAsia" w:ascii="宋体" w:hAnsi="宋体" w:cs="宋体"/>
                <w:color w:val="auto"/>
                <w:sz w:val="21"/>
                <w:szCs w:val="21"/>
              </w:rPr>
              <w:t>4000</w:t>
            </w:r>
          </w:p>
        </w:tc>
      </w:tr>
      <w:tr w14:paraId="5B75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7E65C43">
            <w:pPr>
              <w:widowControl/>
              <w:spacing w:line="400" w:lineRule="exact"/>
              <w:jc w:val="center"/>
              <w:rPr>
                <w:color w:val="auto"/>
                <w:kern w:val="0"/>
                <w:sz w:val="21"/>
                <w:szCs w:val="21"/>
              </w:rPr>
            </w:pPr>
            <w:r>
              <w:rPr>
                <w:color w:val="auto"/>
                <w:kern w:val="0"/>
                <w:sz w:val="21"/>
                <w:szCs w:val="21"/>
              </w:rPr>
              <w:t>8</w:t>
            </w:r>
          </w:p>
        </w:tc>
        <w:tc>
          <w:tcPr>
            <w:tcW w:w="951" w:type="dxa"/>
            <w:gridSpan w:val="2"/>
            <w:vAlign w:val="center"/>
          </w:tcPr>
          <w:p w14:paraId="1B6E51E8">
            <w:pPr>
              <w:spacing w:line="400" w:lineRule="exact"/>
              <w:jc w:val="center"/>
              <w:rPr>
                <w:rFonts w:ascii="宋体" w:hAnsi="宋体" w:cs="宋体"/>
                <w:color w:val="auto"/>
                <w:sz w:val="21"/>
                <w:szCs w:val="21"/>
              </w:rPr>
            </w:pPr>
            <w:r>
              <w:rPr>
                <w:rFonts w:hint="eastAsia"/>
                <w:color w:val="auto"/>
                <w:sz w:val="21"/>
                <w:szCs w:val="21"/>
              </w:rPr>
              <w:t xml:space="preserve"> 48口千兆接入万兆上行交换机 </w:t>
            </w:r>
          </w:p>
        </w:tc>
        <w:tc>
          <w:tcPr>
            <w:tcW w:w="1843" w:type="dxa"/>
            <w:vAlign w:val="center"/>
          </w:tcPr>
          <w:p w14:paraId="7248E368">
            <w:pPr>
              <w:spacing w:line="400" w:lineRule="exact"/>
              <w:jc w:val="center"/>
              <w:rPr>
                <w:rFonts w:ascii="宋体" w:hAnsi="宋体" w:cs="宋体"/>
                <w:color w:val="auto"/>
                <w:sz w:val="21"/>
                <w:szCs w:val="21"/>
              </w:rPr>
            </w:pPr>
            <w:r>
              <w:rPr>
                <w:rFonts w:hint="eastAsia"/>
                <w:color w:val="auto"/>
                <w:sz w:val="21"/>
                <w:szCs w:val="21"/>
              </w:rPr>
              <w:t xml:space="preserve">  华为、新华三、锐捷</w:t>
            </w:r>
          </w:p>
        </w:tc>
        <w:tc>
          <w:tcPr>
            <w:tcW w:w="4244" w:type="dxa"/>
            <w:vAlign w:val="center"/>
          </w:tcPr>
          <w:p w14:paraId="7148FA79">
            <w:pPr>
              <w:spacing w:line="400" w:lineRule="exact"/>
              <w:rPr>
                <w:rFonts w:hint="eastAsia" w:ascii="宋体" w:hAnsi="宋体" w:eastAsia="宋体" w:cs="宋体"/>
                <w:color w:val="auto"/>
                <w:sz w:val="21"/>
                <w:szCs w:val="21"/>
                <w:lang w:eastAsia="zh-CN"/>
              </w:rPr>
            </w:pPr>
            <w:r>
              <w:rPr>
                <w:rFonts w:hint="eastAsia"/>
                <w:color w:val="auto"/>
                <w:sz w:val="21"/>
                <w:szCs w:val="21"/>
              </w:rPr>
              <w:t>★1、设备性能：交换容量≥400Gbps, 包转发率≥144Mpps；</w:t>
            </w:r>
            <w:r>
              <w:rPr>
                <w:rFonts w:hint="eastAsia"/>
                <w:color w:val="auto"/>
                <w:sz w:val="21"/>
                <w:szCs w:val="21"/>
              </w:rPr>
              <w:br w:type="textWrapping"/>
            </w:r>
            <w:r>
              <w:rPr>
                <w:rFonts w:hint="eastAsia"/>
                <w:color w:val="auto"/>
                <w:sz w:val="21"/>
                <w:szCs w:val="21"/>
              </w:rPr>
              <w:t>★2、设备配置：提供千兆电口≥48个,万兆SFP+光口≥4个，交流电源供电；</w:t>
            </w:r>
            <w:r>
              <w:rPr>
                <w:rFonts w:hint="eastAsia"/>
                <w:color w:val="auto"/>
                <w:sz w:val="21"/>
                <w:szCs w:val="21"/>
              </w:rPr>
              <w:br w:type="textWrapping"/>
            </w:r>
            <w:r>
              <w:rPr>
                <w:rFonts w:hint="eastAsia"/>
                <w:color w:val="auto"/>
                <w:sz w:val="21"/>
                <w:szCs w:val="21"/>
              </w:rPr>
              <w:t>★3、堆叠：支持智能 iStack 堆叠，将多台支持堆叠特性的交换机组合在一起，从逻辑上虚拟为一台交换机；</w:t>
            </w:r>
            <w:r>
              <w:rPr>
                <w:rFonts w:hint="eastAsia"/>
                <w:color w:val="auto"/>
                <w:sz w:val="21"/>
                <w:szCs w:val="21"/>
              </w:rPr>
              <w:br w:type="textWrapping"/>
            </w:r>
            <w:r>
              <w:rPr>
                <w:rFonts w:hint="eastAsia"/>
                <w:color w:val="auto"/>
                <w:sz w:val="21"/>
                <w:szCs w:val="21"/>
              </w:rPr>
              <w:t>★4、规格表项：支持MAC地址≥16K，支持ARP表项≥4K，支持Ipv4 FIB表≥4K；</w:t>
            </w:r>
            <w:r>
              <w:rPr>
                <w:rFonts w:hint="eastAsia"/>
                <w:color w:val="auto"/>
                <w:sz w:val="21"/>
                <w:szCs w:val="21"/>
              </w:rPr>
              <w:br w:type="textWrapping"/>
            </w:r>
            <w:r>
              <w:rPr>
                <w:rFonts w:hint="eastAsia"/>
                <w:color w:val="auto"/>
                <w:sz w:val="21"/>
                <w:szCs w:val="21"/>
              </w:rPr>
              <w:t>5、工作环境：使用非工业级光模块情况下的长期工作环境温度范围：-5℃~50℃，长期工作环境相对湿度为 5%~95%，非凝露；</w:t>
            </w:r>
            <w:r>
              <w:rPr>
                <w:rFonts w:hint="eastAsia"/>
                <w:color w:val="auto"/>
                <w:sz w:val="21"/>
                <w:szCs w:val="21"/>
              </w:rPr>
              <w:br w:type="textWrapping"/>
            </w:r>
            <w:r>
              <w:rPr>
                <w:rFonts w:hint="eastAsia"/>
                <w:color w:val="auto"/>
                <w:sz w:val="21"/>
                <w:szCs w:val="21"/>
              </w:rPr>
              <w:t>6、虚拟化：支持纵向虚拟化，作为纵向子节点零配置即插即用；</w:t>
            </w:r>
            <w:r>
              <w:rPr>
                <w:rFonts w:hint="eastAsia"/>
                <w:color w:val="auto"/>
                <w:sz w:val="21"/>
                <w:szCs w:val="21"/>
              </w:rPr>
              <w:br w:type="textWrapping"/>
            </w:r>
            <w:r>
              <w:rPr>
                <w:rFonts w:hint="eastAsia"/>
                <w:color w:val="auto"/>
                <w:sz w:val="21"/>
                <w:szCs w:val="21"/>
              </w:rPr>
              <w:t>7、安全：安全：支持防止DOS、ARP攻击功能、ICMP防攻击，支持DHCPv6 Snooping，DAI，SAVI等安全特性；</w:t>
            </w:r>
            <w:r>
              <w:rPr>
                <w:rFonts w:hint="eastAsia"/>
                <w:color w:val="auto"/>
                <w:sz w:val="21"/>
                <w:szCs w:val="21"/>
              </w:rPr>
              <w:br w:type="textWrapping"/>
            </w:r>
            <w:r>
              <w:rPr>
                <w:rFonts w:hint="eastAsia"/>
                <w:color w:val="auto"/>
                <w:sz w:val="21"/>
                <w:szCs w:val="21"/>
              </w:rPr>
              <w:t>8、可靠性：支持 ERPS 以太环保护协议（G.8032），故障倒换时间小于50ms；</w:t>
            </w:r>
            <w:r>
              <w:rPr>
                <w:rFonts w:hint="eastAsia"/>
                <w:color w:val="auto"/>
                <w:sz w:val="21"/>
                <w:szCs w:val="21"/>
              </w:rPr>
              <w:br w:type="textWrapping"/>
            </w:r>
            <w:r>
              <w:rPr>
                <w:rFonts w:hint="eastAsia"/>
                <w:color w:val="auto"/>
                <w:sz w:val="21"/>
                <w:szCs w:val="21"/>
              </w:rPr>
              <w:t>9、可用度：可用度满足 99.999%的电信级可靠性要求；</w:t>
            </w:r>
            <w:r>
              <w:rPr>
                <w:rFonts w:hint="eastAsia"/>
                <w:color w:val="auto"/>
                <w:sz w:val="21"/>
                <w:szCs w:val="21"/>
              </w:rPr>
              <w:br w:type="textWrapping"/>
            </w:r>
            <w:r>
              <w:rPr>
                <w:rFonts w:hint="eastAsia"/>
                <w:color w:val="auto"/>
                <w:sz w:val="21"/>
                <w:szCs w:val="21"/>
              </w:rPr>
              <w:t>1</w:t>
            </w:r>
            <w:r>
              <w:rPr>
                <w:rFonts w:hint="eastAsia"/>
                <w:color w:val="auto"/>
                <w:sz w:val="21"/>
                <w:szCs w:val="21"/>
                <w:lang w:val="en-US" w:eastAsia="zh-CN"/>
              </w:rPr>
              <w:t>0</w:t>
            </w:r>
            <w:r>
              <w:rPr>
                <w:rFonts w:hint="eastAsia"/>
                <w:color w:val="auto"/>
                <w:sz w:val="21"/>
                <w:szCs w:val="21"/>
              </w:rPr>
              <w:t>、管理维护：支持 Telemetry 技术，配合网络分析组件通过智能故障识别算法对网络数据进行分析，精准展现网络实时状态，并能及时有效地定界故障以及定位故障发生原因</w:t>
            </w:r>
            <w:r>
              <w:rPr>
                <w:rFonts w:hint="eastAsia"/>
                <w:color w:val="auto"/>
                <w:sz w:val="21"/>
                <w:szCs w:val="21"/>
                <w:lang w:eastAsia="zh-CN"/>
              </w:rPr>
              <w:t>。</w:t>
            </w:r>
          </w:p>
        </w:tc>
        <w:tc>
          <w:tcPr>
            <w:tcW w:w="614" w:type="dxa"/>
            <w:vAlign w:val="center"/>
          </w:tcPr>
          <w:p w14:paraId="17BDF12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747" w:type="dxa"/>
            <w:vAlign w:val="center"/>
          </w:tcPr>
          <w:p w14:paraId="6CD99FD0">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73D4DA4E">
            <w:pPr>
              <w:spacing w:line="400" w:lineRule="exact"/>
              <w:jc w:val="center"/>
              <w:rPr>
                <w:rFonts w:ascii="宋体" w:hAnsi="宋体" w:cs="宋体"/>
                <w:color w:val="auto"/>
                <w:sz w:val="21"/>
                <w:szCs w:val="21"/>
              </w:rPr>
            </w:pPr>
            <w:r>
              <w:rPr>
                <w:rFonts w:hint="eastAsia" w:ascii="宋体" w:hAnsi="宋体" w:cs="宋体"/>
                <w:color w:val="auto"/>
                <w:sz w:val="21"/>
                <w:szCs w:val="21"/>
              </w:rPr>
              <w:t>4500</w:t>
            </w:r>
          </w:p>
        </w:tc>
        <w:tc>
          <w:tcPr>
            <w:tcW w:w="931" w:type="dxa"/>
            <w:vAlign w:val="center"/>
          </w:tcPr>
          <w:p w14:paraId="47C7EA55">
            <w:pPr>
              <w:spacing w:line="400" w:lineRule="exact"/>
              <w:jc w:val="center"/>
              <w:rPr>
                <w:rFonts w:ascii="宋体" w:hAnsi="宋体" w:cs="宋体"/>
                <w:color w:val="auto"/>
                <w:sz w:val="21"/>
                <w:szCs w:val="21"/>
              </w:rPr>
            </w:pPr>
            <w:r>
              <w:rPr>
                <w:rFonts w:hint="eastAsia" w:ascii="宋体" w:hAnsi="宋体" w:cs="宋体"/>
                <w:color w:val="auto"/>
                <w:sz w:val="21"/>
                <w:szCs w:val="21"/>
              </w:rPr>
              <w:t>4500</w:t>
            </w:r>
          </w:p>
        </w:tc>
      </w:tr>
      <w:tr w14:paraId="4250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479931BA">
            <w:pPr>
              <w:widowControl/>
              <w:spacing w:line="400" w:lineRule="exact"/>
              <w:jc w:val="center"/>
              <w:rPr>
                <w:color w:val="auto"/>
                <w:kern w:val="0"/>
                <w:sz w:val="21"/>
                <w:szCs w:val="21"/>
              </w:rPr>
            </w:pPr>
            <w:r>
              <w:rPr>
                <w:color w:val="auto"/>
                <w:kern w:val="0"/>
                <w:sz w:val="21"/>
                <w:szCs w:val="21"/>
              </w:rPr>
              <w:t>9</w:t>
            </w:r>
          </w:p>
        </w:tc>
        <w:tc>
          <w:tcPr>
            <w:tcW w:w="951" w:type="dxa"/>
            <w:gridSpan w:val="2"/>
            <w:vAlign w:val="center"/>
          </w:tcPr>
          <w:p w14:paraId="5B157746">
            <w:pPr>
              <w:spacing w:line="400" w:lineRule="exact"/>
              <w:jc w:val="center"/>
              <w:rPr>
                <w:rFonts w:ascii="宋体" w:hAnsi="宋体" w:cs="宋体"/>
                <w:color w:val="auto"/>
                <w:sz w:val="21"/>
                <w:szCs w:val="21"/>
              </w:rPr>
            </w:pPr>
            <w:r>
              <w:rPr>
                <w:rFonts w:hint="eastAsia"/>
                <w:color w:val="auto"/>
                <w:sz w:val="21"/>
                <w:szCs w:val="21"/>
              </w:rPr>
              <w:t xml:space="preserve">24口万兆汇聚交换机 </w:t>
            </w:r>
          </w:p>
        </w:tc>
        <w:tc>
          <w:tcPr>
            <w:tcW w:w="1843" w:type="dxa"/>
            <w:vAlign w:val="center"/>
          </w:tcPr>
          <w:p w14:paraId="618D95F0">
            <w:pPr>
              <w:spacing w:line="400" w:lineRule="exact"/>
              <w:jc w:val="center"/>
              <w:rPr>
                <w:rFonts w:ascii="宋体" w:hAnsi="宋体" w:cs="宋体"/>
                <w:color w:val="auto"/>
                <w:sz w:val="21"/>
                <w:szCs w:val="21"/>
              </w:rPr>
            </w:pPr>
            <w:r>
              <w:rPr>
                <w:rFonts w:hint="eastAsia"/>
                <w:color w:val="auto"/>
                <w:sz w:val="21"/>
                <w:szCs w:val="21"/>
              </w:rPr>
              <w:t xml:space="preserve">  华为、新华三、锐捷 </w:t>
            </w:r>
          </w:p>
        </w:tc>
        <w:tc>
          <w:tcPr>
            <w:tcW w:w="4244" w:type="dxa"/>
            <w:vAlign w:val="center"/>
          </w:tcPr>
          <w:p w14:paraId="0FBE0C68">
            <w:pPr>
              <w:spacing w:line="400" w:lineRule="exact"/>
              <w:rPr>
                <w:rFonts w:ascii="宋体" w:hAnsi="宋体" w:cs="宋体"/>
                <w:color w:val="auto"/>
                <w:sz w:val="21"/>
                <w:szCs w:val="21"/>
              </w:rPr>
            </w:pPr>
            <w:r>
              <w:rPr>
                <w:rFonts w:hint="eastAsia"/>
                <w:color w:val="auto"/>
                <w:sz w:val="21"/>
                <w:szCs w:val="21"/>
              </w:rPr>
              <w:t>★1、设备性能：交换容量≥2Tbps, 包转发率≥700Mpps；</w:t>
            </w:r>
            <w:r>
              <w:rPr>
                <w:rFonts w:hint="eastAsia"/>
                <w:color w:val="auto"/>
                <w:sz w:val="21"/>
                <w:szCs w:val="21"/>
              </w:rPr>
              <w:br w:type="textWrapping"/>
            </w:r>
            <w:r>
              <w:rPr>
                <w:rFonts w:hint="eastAsia"/>
                <w:color w:val="auto"/>
                <w:sz w:val="21"/>
                <w:szCs w:val="21"/>
              </w:rPr>
              <w:t>★2、设备配置：万兆SFP+光口≥24个，40GE QSFP+≥6个；</w:t>
            </w:r>
            <w:r>
              <w:rPr>
                <w:rFonts w:hint="eastAsia"/>
                <w:color w:val="auto"/>
                <w:sz w:val="21"/>
                <w:szCs w:val="21"/>
              </w:rPr>
              <w:br w:type="textWrapping"/>
            </w:r>
            <w:r>
              <w:rPr>
                <w:rFonts w:hint="eastAsia"/>
                <w:color w:val="auto"/>
                <w:sz w:val="21"/>
                <w:szCs w:val="21"/>
              </w:rPr>
              <w:t>3、硬件：支持1+1电源备份，默认含一个交流电源，配置48个万兆多模，Console接口≥1个，ETH管理接口≥1个，USB口≥1个，风扇模块≥2个；</w:t>
            </w:r>
            <w:r>
              <w:rPr>
                <w:rFonts w:hint="eastAsia"/>
                <w:color w:val="auto"/>
                <w:sz w:val="21"/>
                <w:szCs w:val="21"/>
              </w:rPr>
              <w:br w:type="textWrapping"/>
            </w:r>
            <w:r>
              <w:rPr>
                <w:rFonts w:hint="eastAsia"/>
                <w:color w:val="auto"/>
                <w:sz w:val="21"/>
                <w:szCs w:val="21"/>
              </w:rPr>
              <w:t>★4、路由功能：支持MAC地址≥64K，支持Ipv4 FIB表≥64K，支持4K个VLAN，支持Guest VLAN、Voice VLAN，支持基于MAC/协议/IP子网/策略/端口的VLAN；</w:t>
            </w:r>
            <w:r>
              <w:rPr>
                <w:rFonts w:hint="eastAsia"/>
                <w:color w:val="auto"/>
                <w:sz w:val="21"/>
                <w:szCs w:val="21"/>
              </w:rPr>
              <w:br w:type="textWrapping"/>
            </w:r>
            <w:r>
              <w:rPr>
                <w:rFonts w:hint="eastAsia"/>
                <w:color w:val="auto"/>
                <w:sz w:val="21"/>
                <w:szCs w:val="21"/>
              </w:rPr>
              <w:t>5、堆叠：支持横向堆叠，主机堆叠数不小于9台；</w:t>
            </w:r>
            <w:r>
              <w:rPr>
                <w:rFonts w:hint="eastAsia"/>
                <w:color w:val="auto"/>
                <w:sz w:val="21"/>
                <w:szCs w:val="21"/>
              </w:rPr>
              <w:br w:type="textWrapping"/>
            </w:r>
            <w:r>
              <w:rPr>
                <w:rFonts w:hint="eastAsia"/>
                <w:color w:val="auto"/>
                <w:sz w:val="21"/>
                <w:szCs w:val="21"/>
              </w:rPr>
              <w:t>6、加密通信分析：交换机支持报告攻击事件给网络安全智能系统，与网络安全智能系统和SDN控制器联动，以实现全网安全协防；</w:t>
            </w:r>
            <w:r>
              <w:rPr>
                <w:rFonts w:hint="eastAsia"/>
                <w:color w:val="auto"/>
                <w:sz w:val="21"/>
                <w:szCs w:val="21"/>
              </w:rPr>
              <w:br w:type="textWrapping"/>
            </w:r>
            <w:r>
              <w:rPr>
                <w:rFonts w:hint="eastAsia"/>
                <w:color w:val="auto"/>
                <w:sz w:val="21"/>
                <w:szCs w:val="21"/>
              </w:rPr>
              <w:t>7、VxLAN：支持VxLAN功能，支持BGP EVPN，支持分布式 Anycast 网关，支持VxLAN的自动化部署；</w:t>
            </w:r>
            <w:r>
              <w:rPr>
                <w:rFonts w:hint="eastAsia"/>
                <w:color w:val="auto"/>
                <w:sz w:val="21"/>
                <w:szCs w:val="21"/>
              </w:rPr>
              <w:br w:type="textWrapping"/>
            </w:r>
            <w:r>
              <w:rPr>
                <w:rFonts w:hint="eastAsia"/>
                <w:color w:val="auto"/>
                <w:sz w:val="21"/>
                <w:szCs w:val="21"/>
              </w:rPr>
              <w:t>8、威胁诱捕：交换机支持将IP和端口扫描流量重定向给网络安全智能系统进行诱捕，与网络安全智能系统和SDN控制器联动实施反制措施，以实现网络安全协防；</w:t>
            </w:r>
            <w:r>
              <w:rPr>
                <w:rFonts w:hint="eastAsia"/>
                <w:color w:val="auto"/>
                <w:sz w:val="21"/>
                <w:szCs w:val="21"/>
              </w:rPr>
              <w:br w:type="textWrapping"/>
            </w:r>
            <w:r>
              <w:rPr>
                <w:rFonts w:hint="eastAsia"/>
                <w:color w:val="auto"/>
                <w:sz w:val="21"/>
                <w:szCs w:val="21"/>
              </w:rPr>
              <w:t>9、管理维护：支持以太网OAM（802.3ah 和 802.1ag），支持虚拟电缆检测(Virtual Cable Test)，支持SNMPv1/v2c/v3，支持RMON，支持网管系统，支持WEB网管特性，支持NetStream，可实现基于Python语言的开放可编程特性，提供开放的编辑语言和更简单的操作方法，实现智能化运维；</w:t>
            </w:r>
            <w:r>
              <w:rPr>
                <w:rFonts w:hint="eastAsia"/>
                <w:color w:val="auto"/>
                <w:sz w:val="21"/>
                <w:szCs w:val="21"/>
              </w:rPr>
              <w:br w:type="textWrapping"/>
            </w:r>
            <w:r>
              <w:rPr>
                <w:rFonts w:hint="eastAsia"/>
                <w:color w:val="auto"/>
                <w:sz w:val="21"/>
                <w:szCs w:val="21"/>
              </w:rPr>
              <w:t>10安全 ：支持DHCPv6 Snooping，IP Source Guard，SAVI等安全特性；</w:t>
            </w:r>
          </w:p>
        </w:tc>
        <w:tc>
          <w:tcPr>
            <w:tcW w:w="614" w:type="dxa"/>
            <w:vAlign w:val="center"/>
          </w:tcPr>
          <w:p w14:paraId="08EE9AB2">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台</w:t>
            </w:r>
          </w:p>
        </w:tc>
        <w:tc>
          <w:tcPr>
            <w:tcW w:w="747" w:type="dxa"/>
            <w:vAlign w:val="center"/>
          </w:tcPr>
          <w:p w14:paraId="44B158E2">
            <w:pPr>
              <w:spacing w:line="400" w:lineRule="exact"/>
              <w:jc w:val="center"/>
              <w:rPr>
                <w:rFonts w:ascii="宋体" w:hAnsi="宋体" w:cs="宋体"/>
                <w:color w:val="auto"/>
                <w:sz w:val="21"/>
                <w:szCs w:val="21"/>
              </w:rPr>
            </w:pPr>
            <w:r>
              <w:rPr>
                <w:rFonts w:hint="eastAsia" w:ascii="宋体" w:hAnsi="宋体" w:cs="宋体"/>
                <w:color w:val="auto"/>
                <w:sz w:val="21"/>
                <w:szCs w:val="21"/>
              </w:rPr>
              <w:t>2</w:t>
            </w:r>
          </w:p>
        </w:tc>
        <w:tc>
          <w:tcPr>
            <w:tcW w:w="931" w:type="dxa"/>
            <w:vAlign w:val="center"/>
          </w:tcPr>
          <w:p w14:paraId="62ABB51C">
            <w:pPr>
              <w:spacing w:line="400" w:lineRule="exact"/>
              <w:jc w:val="center"/>
              <w:rPr>
                <w:rFonts w:ascii="宋体" w:hAnsi="宋体" w:cs="宋体"/>
                <w:color w:val="auto"/>
                <w:sz w:val="21"/>
                <w:szCs w:val="21"/>
              </w:rPr>
            </w:pPr>
            <w:r>
              <w:rPr>
                <w:rFonts w:hint="eastAsia" w:ascii="宋体" w:hAnsi="宋体" w:cs="宋体"/>
                <w:color w:val="auto"/>
                <w:sz w:val="21"/>
                <w:szCs w:val="21"/>
              </w:rPr>
              <w:t>13000</w:t>
            </w:r>
          </w:p>
        </w:tc>
        <w:tc>
          <w:tcPr>
            <w:tcW w:w="931" w:type="dxa"/>
            <w:vAlign w:val="center"/>
          </w:tcPr>
          <w:p w14:paraId="704FD94C">
            <w:pPr>
              <w:spacing w:line="400" w:lineRule="exact"/>
              <w:jc w:val="center"/>
              <w:rPr>
                <w:rFonts w:ascii="宋体" w:hAnsi="宋体" w:cs="宋体"/>
                <w:color w:val="auto"/>
                <w:sz w:val="21"/>
                <w:szCs w:val="21"/>
              </w:rPr>
            </w:pPr>
            <w:r>
              <w:rPr>
                <w:rFonts w:hint="eastAsia" w:ascii="宋体" w:hAnsi="宋体" w:cs="宋体"/>
                <w:color w:val="auto"/>
                <w:sz w:val="21"/>
                <w:szCs w:val="21"/>
              </w:rPr>
              <w:t>26000</w:t>
            </w:r>
          </w:p>
        </w:tc>
      </w:tr>
      <w:tr w14:paraId="455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18309173">
            <w:pPr>
              <w:widowControl/>
              <w:spacing w:line="400" w:lineRule="exact"/>
              <w:jc w:val="center"/>
              <w:rPr>
                <w:color w:val="auto"/>
                <w:kern w:val="0"/>
                <w:sz w:val="21"/>
                <w:szCs w:val="21"/>
              </w:rPr>
            </w:pPr>
            <w:r>
              <w:rPr>
                <w:color w:val="auto"/>
                <w:kern w:val="0"/>
                <w:sz w:val="21"/>
                <w:szCs w:val="21"/>
              </w:rPr>
              <w:t>10</w:t>
            </w:r>
          </w:p>
        </w:tc>
        <w:tc>
          <w:tcPr>
            <w:tcW w:w="951" w:type="dxa"/>
            <w:gridSpan w:val="2"/>
            <w:vAlign w:val="center"/>
          </w:tcPr>
          <w:p w14:paraId="1A48B5A8">
            <w:pPr>
              <w:widowControl/>
              <w:spacing w:line="400" w:lineRule="exact"/>
              <w:jc w:val="center"/>
              <w:rPr>
                <w:rFonts w:ascii="宋体" w:hAnsi="宋体" w:cs="宋体"/>
                <w:color w:val="auto"/>
                <w:sz w:val="21"/>
                <w:szCs w:val="21"/>
              </w:rPr>
            </w:pPr>
            <w:r>
              <w:rPr>
                <w:rFonts w:ascii="宋体" w:hAnsi="宋体" w:cs="宋体"/>
                <w:color w:val="auto"/>
                <w:kern w:val="0"/>
                <w:sz w:val="21"/>
                <w:szCs w:val="21"/>
              </w:rPr>
              <w:t>12</w:t>
            </w:r>
            <w:r>
              <w:rPr>
                <w:rFonts w:hint="eastAsia" w:ascii="宋体" w:hAnsi="宋体" w:cs="宋体"/>
                <w:color w:val="auto"/>
                <w:kern w:val="0"/>
                <w:sz w:val="21"/>
                <w:szCs w:val="21"/>
              </w:rPr>
              <w:t>口光终端盒（LC）</w:t>
            </w:r>
          </w:p>
        </w:tc>
        <w:tc>
          <w:tcPr>
            <w:tcW w:w="1843" w:type="dxa"/>
            <w:vAlign w:val="center"/>
          </w:tcPr>
          <w:p w14:paraId="726DAF71">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74F071D7">
            <w:pPr>
              <w:pStyle w:val="21"/>
              <w:numPr>
                <w:ilvl w:val="0"/>
                <w:numId w:val="4"/>
              </w:numPr>
              <w:snapToGrid w:val="0"/>
              <w:spacing w:line="400" w:lineRule="exact"/>
              <w:jc w:val="left"/>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口光终端盒</w:t>
            </w:r>
          </w:p>
          <w:p w14:paraId="474C459B">
            <w:pPr>
              <w:numPr>
                <w:ilvl w:val="0"/>
                <w:numId w:val="4"/>
              </w:numPr>
              <w:snapToGrid w:val="0"/>
              <w:spacing w:line="400" w:lineRule="exact"/>
              <w:jc w:val="left"/>
              <w:rPr>
                <w:rFonts w:ascii="宋体" w:hAnsi="宋体"/>
                <w:color w:val="auto"/>
                <w:sz w:val="21"/>
                <w:szCs w:val="21"/>
              </w:rPr>
            </w:pPr>
            <w:r>
              <w:rPr>
                <w:rFonts w:hint="eastAsia" w:ascii="宋体" w:hAnsi="宋体"/>
                <w:color w:val="auto"/>
                <w:sz w:val="21"/>
                <w:szCs w:val="21"/>
              </w:rPr>
              <w:t>LC光纤适配器接口</w:t>
            </w:r>
          </w:p>
          <w:p w14:paraId="541738EE">
            <w:pPr>
              <w:numPr>
                <w:ilvl w:val="0"/>
                <w:numId w:val="4"/>
              </w:numPr>
              <w:snapToGrid w:val="0"/>
              <w:spacing w:line="400" w:lineRule="exact"/>
              <w:jc w:val="left"/>
              <w:rPr>
                <w:rFonts w:ascii="宋体" w:hAnsi="宋体"/>
                <w:color w:val="auto"/>
                <w:sz w:val="21"/>
                <w:szCs w:val="21"/>
              </w:rPr>
            </w:pPr>
            <w:r>
              <w:rPr>
                <w:rFonts w:hint="eastAsia" w:ascii="宋体" w:hAnsi="宋体"/>
                <w:color w:val="auto"/>
                <w:sz w:val="21"/>
                <w:szCs w:val="21"/>
              </w:rPr>
              <w:t>最大配纤能力8芯。</w:t>
            </w:r>
          </w:p>
        </w:tc>
        <w:tc>
          <w:tcPr>
            <w:tcW w:w="614" w:type="dxa"/>
            <w:vAlign w:val="center"/>
          </w:tcPr>
          <w:p w14:paraId="19EFD256">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2064F8D9">
            <w:pPr>
              <w:spacing w:line="400" w:lineRule="exact"/>
              <w:jc w:val="center"/>
              <w:rPr>
                <w:rFonts w:ascii="宋体" w:hAnsi="宋体" w:cs="宋体"/>
                <w:color w:val="auto"/>
                <w:sz w:val="21"/>
                <w:szCs w:val="21"/>
              </w:rPr>
            </w:pPr>
            <w:r>
              <w:rPr>
                <w:rFonts w:hint="eastAsia" w:ascii="宋体" w:hAnsi="宋体" w:cs="宋体"/>
                <w:color w:val="auto"/>
                <w:sz w:val="21"/>
                <w:szCs w:val="21"/>
              </w:rPr>
              <w:t>12</w:t>
            </w:r>
          </w:p>
        </w:tc>
        <w:tc>
          <w:tcPr>
            <w:tcW w:w="931" w:type="dxa"/>
            <w:vAlign w:val="center"/>
          </w:tcPr>
          <w:p w14:paraId="5CAB5ADF">
            <w:pPr>
              <w:spacing w:line="400" w:lineRule="exact"/>
              <w:jc w:val="center"/>
              <w:rPr>
                <w:rFonts w:ascii="宋体" w:hAnsi="宋体" w:cs="宋体"/>
                <w:color w:val="auto"/>
                <w:sz w:val="21"/>
                <w:szCs w:val="21"/>
              </w:rPr>
            </w:pPr>
            <w:r>
              <w:rPr>
                <w:rFonts w:hint="eastAsia" w:ascii="宋体" w:hAnsi="宋体" w:cs="宋体"/>
                <w:color w:val="auto"/>
                <w:sz w:val="21"/>
                <w:szCs w:val="21"/>
              </w:rPr>
              <w:t>110</w:t>
            </w:r>
          </w:p>
        </w:tc>
        <w:tc>
          <w:tcPr>
            <w:tcW w:w="931" w:type="dxa"/>
            <w:vAlign w:val="center"/>
          </w:tcPr>
          <w:p w14:paraId="34CA0623">
            <w:pPr>
              <w:spacing w:line="400" w:lineRule="exact"/>
              <w:jc w:val="center"/>
              <w:rPr>
                <w:rFonts w:ascii="宋体" w:hAnsi="宋体" w:cs="宋体"/>
                <w:color w:val="auto"/>
                <w:sz w:val="21"/>
                <w:szCs w:val="21"/>
              </w:rPr>
            </w:pPr>
            <w:r>
              <w:rPr>
                <w:rFonts w:hint="eastAsia" w:ascii="宋体" w:hAnsi="宋体" w:cs="宋体"/>
                <w:color w:val="auto"/>
                <w:sz w:val="21"/>
                <w:szCs w:val="21"/>
              </w:rPr>
              <w:t>1320</w:t>
            </w:r>
          </w:p>
        </w:tc>
      </w:tr>
      <w:tr w14:paraId="286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268B1BC">
            <w:pPr>
              <w:widowControl/>
              <w:spacing w:line="400" w:lineRule="exact"/>
              <w:jc w:val="center"/>
              <w:rPr>
                <w:color w:val="auto"/>
                <w:kern w:val="0"/>
                <w:sz w:val="21"/>
                <w:szCs w:val="21"/>
              </w:rPr>
            </w:pPr>
            <w:r>
              <w:rPr>
                <w:color w:val="auto"/>
                <w:kern w:val="0"/>
                <w:sz w:val="21"/>
                <w:szCs w:val="21"/>
              </w:rPr>
              <w:t>11</w:t>
            </w:r>
          </w:p>
        </w:tc>
        <w:tc>
          <w:tcPr>
            <w:tcW w:w="951" w:type="dxa"/>
            <w:gridSpan w:val="2"/>
            <w:vAlign w:val="center"/>
          </w:tcPr>
          <w:p w14:paraId="75774738">
            <w:pPr>
              <w:widowControl/>
              <w:spacing w:line="400" w:lineRule="exact"/>
              <w:jc w:val="center"/>
              <w:rPr>
                <w:rFonts w:ascii="宋体" w:hAnsi="宋体" w:cs="宋体"/>
                <w:color w:val="auto"/>
                <w:kern w:val="0"/>
                <w:sz w:val="21"/>
                <w:szCs w:val="21"/>
              </w:rPr>
            </w:pPr>
            <w:r>
              <w:rPr>
                <w:rFonts w:ascii="宋体" w:hAnsi="宋体" w:cs="宋体"/>
                <w:color w:val="auto"/>
                <w:kern w:val="0"/>
                <w:sz w:val="21"/>
                <w:szCs w:val="21"/>
              </w:rPr>
              <w:t>24</w:t>
            </w:r>
            <w:r>
              <w:rPr>
                <w:rFonts w:hint="eastAsia" w:ascii="宋体" w:hAnsi="宋体" w:cs="宋体"/>
                <w:color w:val="auto"/>
                <w:kern w:val="0"/>
                <w:sz w:val="21"/>
                <w:szCs w:val="21"/>
              </w:rPr>
              <w:t>口光终端盒（LC）</w:t>
            </w:r>
          </w:p>
        </w:tc>
        <w:tc>
          <w:tcPr>
            <w:tcW w:w="1843" w:type="dxa"/>
            <w:vAlign w:val="center"/>
          </w:tcPr>
          <w:p w14:paraId="7BF42BF2">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6146E5D0">
            <w:pPr>
              <w:pStyle w:val="21"/>
              <w:numPr>
                <w:ilvl w:val="0"/>
                <w:numId w:val="5"/>
              </w:numPr>
              <w:snapToGrid w:val="0"/>
              <w:spacing w:line="400" w:lineRule="exact"/>
              <w:jc w:val="left"/>
              <w:rPr>
                <w:rFonts w:ascii="宋体" w:hAnsi="宋体"/>
                <w:color w:val="auto"/>
                <w:sz w:val="21"/>
                <w:szCs w:val="21"/>
              </w:rPr>
            </w:pPr>
            <w:r>
              <w:rPr>
                <w:rFonts w:ascii="宋体" w:hAnsi="宋体"/>
                <w:color w:val="auto"/>
                <w:sz w:val="21"/>
                <w:szCs w:val="21"/>
              </w:rPr>
              <w:t>24</w:t>
            </w:r>
            <w:r>
              <w:rPr>
                <w:rFonts w:hint="eastAsia" w:ascii="宋体" w:hAnsi="宋体"/>
                <w:color w:val="auto"/>
                <w:sz w:val="21"/>
                <w:szCs w:val="21"/>
              </w:rPr>
              <w:t>口光终端盒</w:t>
            </w:r>
          </w:p>
          <w:p w14:paraId="77EB42FD">
            <w:pPr>
              <w:numPr>
                <w:ilvl w:val="0"/>
                <w:numId w:val="5"/>
              </w:numPr>
              <w:snapToGrid w:val="0"/>
              <w:spacing w:line="400" w:lineRule="exact"/>
              <w:jc w:val="left"/>
              <w:rPr>
                <w:rFonts w:ascii="宋体" w:hAnsi="宋体"/>
                <w:color w:val="auto"/>
                <w:sz w:val="21"/>
                <w:szCs w:val="21"/>
              </w:rPr>
            </w:pPr>
            <w:r>
              <w:rPr>
                <w:rFonts w:hint="eastAsia" w:ascii="宋体" w:hAnsi="宋体"/>
                <w:color w:val="auto"/>
                <w:sz w:val="21"/>
                <w:szCs w:val="21"/>
              </w:rPr>
              <w:t>LC光纤适配器接口</w:t>
            </w:r>
          </w:p>
          <w:p w14:paraId="1775C95E">
            <w:pPr>
              <w:widowControl/>
              <w:spacing w:line="400" w:lineRule="exact"/>
              <w:jc w:val="left"/>
              <w:rPr>
                <w:rFonts w:ascii="宋体" w:hAnsi="宋体" w:cs="宋体"/>
                <w:color w:val="auto"/>
                <w:kern w:val="0"/>
                <w:sz w:val="21"/>
                <w:szCs w:val="21"/>
              </w:rPr>
            </w:pPr>
            <w:r>
              <w:rPr>
                <w:rFonts w:hint="eastAsia" w:ascii="宋体" w:hAnsi="宋体"/>
                <w:color w:val="auto"/>
                <w:sz w:val="21"/>
                <w:szCs w:val="21"/>
              </w:rPr>
              <w:t>3、最大配纤能力12芯。</w:t>
            </w:r>
          </w:p>
        </w:tc>
        <w:tc>
          <w:tcPr>
            <w:tcW w:w="614" w:type="dxa"/>
            <w:vAlign w:val="center"/>
          </w:tcPr>
          <w:p w14:paraId="1CBACC87">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4545256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08B95390">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170</w:t>
            </w:r>
          </w:p>
        </w:tc>
        <w:tc>
          <w:tcPr>
            <w:tcW w:w="931" w:type="dxa"/>
            <w:vAlign w:val="center"/>
          </w:tcPr>
          <w:p w14:paraId="48C77F0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170</w:t>
            </w:r>
          </w:p>
        </w:tc>
      </w:tr>
      <w:tr w14:paraId="661C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4B9B6DC0">
            <w:pPr>
              <w:widowControl/>
              <w:spacing w:line="400" w:lineRule="exact"/>
              <w:jc w:val="center"/>
              <w:rPr>
                <w:color w:val="auto"/>
                <w:kern w:val="0"/>
                <w:sz w:val="21"/>
                <w:szCs w:val="21"/>
              </w:rPr>
            </w:pPr>
            <w:r>
              <w:rPr>
                <w:color w:val="auto"/>
                <w:kern w:val="0"/>
                <w:sz w:val="21"/>
                <w:szCs w:val="21"/>
              </w:rPr>
              <w:t>12</w:t>
            </w:r>
          </w:p>
        </w:tc>
        <w:tc>
          <w:tcPr>
            <w:tcW w:w="951" w:type="dxa"/>
            <w:gridSpan w:val="2"/>
            <w:vAlign w:val="center"/>
          </w:tcPr>
          <w:p w14:paraId="24CE318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光纤尾纤（LC）</w:t>
            </w:r>
          </w:p>
        </w:tc>
        <w:tc>
          <w:tcPr>
            <w:tcW w:w="1843" w:type="dxa"/>
            <w:vAlign w:val="center"/>
          </w:tcPr>
          <w:p w14:paraId="154F96B0">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295494B6">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ST接口光纤尾纤</w:t>
            </w:r>
          </w:p>
          <w:p w14:paraId="2CD9DB7E">
            <w:pPr>
              <w:spacing w:line="400" w:lineRule="exact"/>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rPr>
              <w:tab/>
            </w:r>
            <w:r>
              <w:rPr>
                <w:rFonts w:hint="eastAsia" w:ascii="宋体" w:hAnsi="宋体"/>
                <w:color w:val="auto"/>
                <w:sz w:val="21"/>
                <w:szCs w:val="21"/>
              </w:rPr>
              <w:t>衰减：</w:t>
            </w:r>
          </w:p>
          <w:p w14:paraId="3CC62E4A">
            <w:pPr>
              <w:spacing w:line="400" w:lineRule="exact"/>
              <w:jc w:val="left"/>
              <w:rPr>
                <w:rFonts w:ascii="宋体" w:hAnsi="宋体"/>
                <w:color w:val="auto"/>
                <w:sz w:val="21"/>
                <w:szCs w:val="21"/>
              </w:rPr>
            </w:pPr>
            <w:r>
              <w:rPr>
                <w:rFonts w:hint="eastAsia" w:ascii="宋体" w:hAnsi="宋体"/>
                <w:color w:val="auto"/>
                <w:sz w:val="21"/>
                <w:szCs w:val="21"/>
              </w:rPr>
              <w:t>50um≤3.5dB/km@850nm，&lt;=1.5dB/km@1300nm，62.5um&lt;=3.5dB/km@850nm    &lt;=1.5dB/km@1300nm</w:t>
            </w:r>
          </w:p>
          <w:p w14:paraId="19EAAB98">
            <w:pPr>
              <w:spacing w:line="400" w:lineRule="exact"/>
              <w:jc w:val="left"/>
              <w:rPr>
                <w:rFonts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rPr>
              <w:tab/>
            </w:r>
            <w:r>
              <w:rPr>
                <w:rFonts w:hint="eastAsia" w:ascii="宋体" w:hAnsi="宋体"/>
                <w:color w:val="auto"/>
                <w:sz w:val="21"/>
                <w:szCs w:val="21"/>
              </w:rPr>
              <w:t>带宽：</w:t>
            </w:r>
          </w:p>
          <w:p w14:paraId="5AC5B079">
            <w:pPr>
              <w:spacing w:line="400" w:lineRule="exact"/>
              <w:jc w:val="left"/>
              <w:rPr>
                <w:rFonts w:ascii="宋体" w:hAnsi="宋体"/>
                <w:color w:val="auto"/>
                <w:sz w:val="21"/>
                <w:szCs w:val="21"/>
              </w:rPr>
            </w:pPr>
            <w:r>
              <w:rPr>
                <w:rFonts w:ascii="宋体" w:hAnsi="宋体"/>
                <w:color w:val="auto"/>
                <w:sz w:val="21"/>
                <w:szCs w:val="21"/>
              </w:rPr>
              <w:t>50um&gt;=200MHZ~km@850nm     &gt;=400MHZ~km@1300nm</w:t>
            </w:r>
          </w:p>
          <w:p w14:paraId="6D0FEC05">
            <w:pPr>
              <w:spacing w:line="400" w:lineRule="exact"/>
              <w:jc w:val="left"/>
              <w:rPr>
                <w:rFonts w:ascii="宋体" w:hAnsi="宋体"/>
                <w:color w:val="auto"/>
                <w:sz w:val="21"/>
                <w:szCs w:val="21"/>
              </w:rPr>
            </w:pPr>
            <w:r>
              <w:rPr>
                <w:rFonts w:ascii="宋体" w:hAnsi="宋体"/>
                <w:color w:val="auto"/>
                <w:sz w:val="21"/>
                <w:szCs w:val="21"/>
              </w:rPr>
              <w:t>62.5um&gt;=200MHZ~km@850nm     &gt;=400MHZ~km@1300nm</w:t>
            </w:r>
          </w:p>
          <w:p w14:paraId="16DE6265">
            <w:pPr>
              <w:spacing w:line="400" w:lineRule="exact"/>
              <w:jc w:val="left"/>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rPr>
              <w:tab/>
            </w:r>
            <w:r>
              <w:rPr>
                <w:rFonts w:hint="eastAsia" w:ascii="宋体" w:hAnsi="宋体"/>
                <w:color w:val="auto"/>
                <w:sz w:val="21"/>
                <w:szCs w:val="21"/>
              </w:rPr>
              <w:t>LSZH低烟无卤护套材料</w:t>
            </w:r>
          </w:p>
          <w:p w14:paraId="6C7189CA">
            <w:pPr>
              <w:spacing w:line="400" w:lineRule="exact"/>
              <w:jc w:val="left"/>
              <w:rPr>
                <w:rFonts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rPr>
              <w:tab/>
            </w:r>
            <w:r>
              <w:rPr>
                <w:rFonts w:hint="eastAsia" w:ascii="宋体" w:hAnsi="宋体"/>
                <w:color w:val="auto"/>
                <w:sz w:val="21"/>
                <w:szCs w:val="21"/>
              </w:rPr>
              <w:t>安装温度：-5℃︿+50℃</w:t>
            </w:r>
          </w:p>
          <w:p w14:paraId="5AC00710">
            <w:pPr>
              <w:spacing w:line="400" w:lineRule="exact"/>
              <w:jc w:val="left"/>
              <w:rPr>
                <w:rFonts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rPr>
              <w:tab/>
            </w:r>
            <w:r>
              <w:rPr>
                <w:rFonts w:hint="eastAsia" w:ascii="宋体" w:hAnsi="宋体"/>
                <w:color w:val="auto"/>
                <w:sz w:val="21"/>
                <w:szCs w:val="21"/>
              </w:rPr>
              <w:t>使用温度：-</w:t>
            </w:r>
            <w:r>
              <w:rPr>
                <w:rFonts w:hint="eastAsia" w:ascii="宋体" w:hAnsi="宋体"/>
                <w:color w:val="auto"/>
                <w:sz w:val="21"/>
                <w:szCs w:val="21"/>
                <w:lang w:val="en-US" w:eastAsia="zh-CN"/>
              </w:rPr>
              <w:t>1</w:t>
            </w:r>
            <w:r>
              <w:rPr>
                <w:rFonts w:hint="eastAsia" w:ascii="宋体" w:hAnsi="宋体"/>
                <w:color w:val="auto"/>
                <w:sz w:val="21"/>
                <w:szCs w:val="21"/>
              </w:rPr>
              <w:t>0℃︿+70℃</w:t>
            </w:r>
          </w:p>
        </w:tc>
        <w:tc>
          <w:tcPr>
            <w:tcW w:w="614" w:type="dxa"/>
            <w:vAlign w:val="center"/>
          </w:tcPr>
          <w:p w14:paraId="13DBD43F">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736A29C9">
            <w:pPr>
              <w:spacing w:line="400" w:lineRule="exact"/>
              <w:jc w:val="center"/>
              <w:rPr>
                <w:rFonts w:ascii="宋体" w:hAnsi="宋体" w:cs="宋体"/>
                <w:color w:val="auto"/>
                <w:sz w:val="21"/>
                <w:szCs w:val="21"/>
              </w:rPr>
            </w:pPr>
            <w:r>
              <w:rPr>
                <w:rFonts w:hint="eastAsia" w:ascii="宋体" w:hAnsi="宋体" w:cs="宋体"/>
                <w:color w:val="auto"/>
                <w:sz w:val="21"/>
                <w:szCs w:val="21"/>
              </w:rPr>
              <w:t>144</w:t>
            </w:r>
          </w:p>
        </w:tc>
        <w:tc>
          <w:tcPr>
            <w:tcW w:w="931" w:type="dxa"/>
            <w:vAlign w:val="center"/>
          </w:tcPr>
          <w:p w14:paraId="4AD1E700">
            <w:pPr>
              <w:spacing w:line="400" w:lineRule="exact"/>
              <w:jc w:val="center"/>
              <w:rPr>
                <w:rFonts w:ascii="宋体" w:hAnsi="宋体" w:cs="宋体"/>
                <w:color w:val="auto"/>
                <w:sz w:val="21"/>
                <w:szCs w:val="21"/>
              </w:rPr>
            </w:pPr>
            <w:r>
              <w:rPr>
                <w:rFonts w:hint="eastAsia" w:ascii="宋体" w:hAnsi="宋体" w:cs="宋体"/>
                <w:color w:val="auto"/>
                <w:sz w:val="21"/>
                <w:szCs w:val="21"/>
              </w:rPr>
              <w:t>10</w:t>
            </w:r>
          </w:p>
        </w:tc>
        <w:tc>
          <w:tcPr>
            <w:tcW w:w="931" w:type="dxa"/>
            <w:vAlign w:val="center"/>
          </w:tcPr>
          <w:p w14:paraId="7197C2E3">
            <w:pPr>
              <w:spacing w:line="400" w:lineRule="exact"/>
              <w:jc w:val="center"/>
              <w:rPr>
                <w:rFonts w:ascii="宋体" w:hAnsi="宋体" w:cs="宋体"/>
                <w:color w:val="auto"/>
                <w:sz w:val="21"/>
                <w:szCs w:val="21"/>
              </w:rPr>
            </w:pPr>
            <w:r>
              <w:rPr>
                <w:rFonts w:hint="eastAsia" w:ascii="宋体" w:hAnsi="宋体" w:cs="宋体"/>
                <w:color w:val="auto"/>
                <w:sz w:val="21"/>
                <w:szCs w:val="21"/>
              </w:rPr>
              <w:t>1440</w:t>
            </w:r>
          </w:p>
        </w:tc>
      </w:tr>
      <w:tr w14:paraId="1154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6E931386">
            <w:pPr>
              <w:widowControl/>
              <w:spacing w:line="400" w:lineRule="exact"/>
              <w:jc w:val="center"/>
              <w:rPr>
                <w:color w:val="auto"/>
                <w:kern w:val="0"/>
                <w:sz w:val="21"/>
                <w:szCs w:val="21"/>
              </w:rPr>
            </w:pPr>
            <w:r>
              <w:rPr>
                <w:color w:val="auto"/>
                <w:kern w:val="0"/>
                <w:sz w:val="21"/>
                <w:szCs w:val="21"/>
              </w:rPr>
              <w:t>13</w:t>
            </w:r>
          </w:p>
        </w:tc>
        <w:tc>
          <w:tcPr>
            <w:tcW w:w="951" w:type="dxa"/>
            <w:gridSpan w:val="2"/>
            <w:vAlign w:val="center"/>
          </w:tcPr>
          <w:p w14:paraId="1B60E688">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光纤耦合器（LC）</w:t>
            </w:r>
          </w:p>
        </w:tc>
        <w:tc>
          <w:tcPr>
            <w:tcW w:w="1843" w:type="dxa"/>
            <w:vAlign w:val="center"/>
          </w:tcPr>
          <w:p w14:paraId="6F78A3C7">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07B84129">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光学性能100%检测，陶瓷（氧化锆）套管。</w:t>
            </w:r>
          </w:p>
          <w:p w14:paraId="42A87C31">
            <w:pPr>
              <w:spacing w:line="400" w:lineRule="exact"/>
              <w:jc w:val="left"/>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插入损耗&lt;0.2dB</w:t>
            </w:r>
          </w:p>
          <w:p w14:paraId="54B13A68">
            <w:pPr>
              <w:spacing w:line="400" w:lineRule="exact"/>
              <w:jc w:val="left"/>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反射损耗&gt;55dB</w:t>
            </w:r>
          </w:p>
          <w:p w14:paraId="2E1A97CD">
            <w:pPr>
              <w:spacing w:line="400" w:lineRule="exact"/>
              <w:jc w:val="left"/>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温度范围-</w:t>
            </w:r>
            <w:r>
              <w:rPr>
                <w:rFonts w:hint="eastAsia" w:ascii="宋体" w:hAnsi="宋体"/>
                <w:color w:val="auto"/>
                <w:sz w:val="21"/>
                <w:szCs w:val="21"/>
                <w:lang w:val="en-US" w:eastAsia="zh-CN"/>
              </w:rPr>
              <w:t>1</w:t>
            </w:r>
            <w:r>
              <w:rPr>
                <w:rFonts w:hint="eastAsia" w:ascii="宋体" w:hAnsi="宋体"/>
                <w:color w:val="auto"/>
                <w:sz w:val="21"/>
                <w:szCs w:val="21"/>
              </w:rPr>
              <w:t>0℃～+8</w:t>
            </w:r>
            <w:r>
              <w:rPr>
                <w:rFonts w:hint="eastAsia" w:ascii="宋体" w:hAnsi="宋体"/>
                <w:color w:val="auto"/>
                <w:sz w:val="21"/>
                <w:szCs w:val="21"/>
                <w:lang w:val="en-US" w:eastAsia="zh-CN"/>
              </w:rPr>
              <w:t>0</w:t>
            </w:r>
            <w:r>
              <w:rPr>
                <w:rFonts w:hint="eastAsia" w:ascii="宋体" w:hAnsi="宋体"/>
                <w:color w:val="auto"/>
                <w:sz w:val="21"/>
                <w:szCs w:val="21"/>
              </w:rPr>
              <w:t>摄氏度</w:t>
            </w:r>
          </w:p>
          <w:p w14:paraId="4D3E5C27">
            <w:pPr>
              <w:spacing w:line="400" w:lineRule="exact"/>
              <w:jc w:val="left"/>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耐久性500yclds。变化小于等于0.2dB</w:t>
            </w:r>
          </w:p>
        </w:tc>
        <w:tc>
          <w:tcPr>
            <w:tcW w:w="614" w:type="dxa"/>
            <w:vAlign w:val="center"/>
          </w:tcPr>
          <w:p w14:paraId="6C622559">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0C3FB7BA">
            <w:pPr>
              <w:spacing w:line="400" w:lineRule="exact"/>
              <w:jc w:val="center"/>
              <w:rPr>
                <w:rFonts w:ascii="宋体" w:hAnsi="宋体" w:cs="宋体"/>
                <w:color w:val="auto"/>
                <w:sz w:val="21"/>
                <w:szCs w:val="21"/>
              </w:rPr>
            </w:pPr>
            <w:r>
              <w:rPr>
                <w:rFonts w:hint="eastAsia" w:ascii="宋体" w:hAnsi="宋体" w:cs="宋体"/>
                <w:color w:val="auto"/>
                <w:sz w:val="21"/>
                <w:szCs w:val="21"/>
              </w:rPr>
              <w:t>144</w:t>
            </w:r>
          </w:p>
        </w:tc>
        <w:tc>
          <w:tcPr>
            <w:tcW w:w="931" w:type="dxa"/>
            <w:vAlign w:val="center"/>
          </w:tcPr>
          <w:p w14:paraId="03781FBC">
            <w:pPr>
              <w:spacing w:line="400" w:lineRule="exact"/>
              <w:jc w:val="center"/>
              <w:rPr>
                <w:rFonts w:ascii="宋体" w:hAnsi="宋体" w:cs="宋体"/>
                <w:color w:val="auto"/>
                <w:sz w:val="21"/>
                <w:szCs w:val="21"/>
              </w:rPr>
            </w:pPr>
            <w:r>
              <w:rPr>
                <w:rFonts w:hint="eastAsia" w:ascii="宋体" w:hAnsi="宋体" w:cs="宋体"/>
                <w:color w:val="auto"/>
                <w:sz w:val="21"/>
                <w:szCs w:val="21"/>
              </w:rPr>
              <w:t>12</w:t>
            </w:r>
          </w:p>
        </w:tc>
        <w:tc>
          <w:tcPr>
            <w:tcW w:w="931" w:type="dxa"/>
            <w:vAlign w:val="center"/>
          </w:tcPr>
          <w:p w14:paraId="32661583">
            <w:pPr>
              <w:spacing w:line="400" w:lineRule="exact"/>
              <w:jc w:val="center"/>
              <w:rPr>
                <w:rFonts w:ascii="宋体" w:hAnsi="宋体" w:cs="宋体"/>
                <w:color w:val="auto"/>
                <w:sz w:val="21"/>
                <w:szCs w:val="21"/>
              </w:rPr>
            </w:pPr>
            <w:r>
              <w:rPr>
                <w:rFonts w:hint="eastAsia" w:ascii="宋体" w:hAnsi="宋体" w:cs="宋体"/>
                <w:color w:val="auto"/>
                <w:sz w:val="21"/>
                <w:szCs w:val="21"/>
              </w:rPr>
              <w:t>1728</w:t>
            </w:r>
          </w:p>
        </w:tc>
      </w:tr>
      <w:tr w14:paraId="1C78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60BCD1B0">
            <w:pPr>
              <w:widowControl/>
              <w:spacing w:line="400" w:lineRule="exact"/>
              <w:jc w:val="center"/>
              <w:rPr>
                <w:color w:val="auto"/>
                <w:kern w:val="0"/>
                <w:sz w:val="21"/>
                <w:szCs w:val="21"/>
              </w:rPr>
            </w:pPr>
            <w:r>
              <w:rPr>
                <w:color w:val="auto"/>
                <w:kern w:val="0"/>
                <w:sz w:val="21"/>
                <w:szCs w:val="21"/>
              </w:rPr>
              <w:t>14</w:t>
            </w:r>
          </w:p>
        </w:tc>
        <w:tc>
          <w:tcPr>
            <w:tcW w:w="951" w:type="dxa"/>
            <w:gridSpan w:val="2"/>
            <w:vAlign w:val="center"/>
          </w:tcPr>
          <w:p w14:paraId="46C52594">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光跳线（单模LC-LC）2米</w:t>
            </w:r>
          </w:p>
        </w:tc>
        <w:tc>
          <w:tcPr>
            <w:tcW w:w="1843" w:type="dxa"/>
            <w:vAlign w:val="center"/>
          </w:tcPr>
          <w:p w14:paraId="143F7409">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5392723E">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插入损耗≤0.3 dB  回波损耗≥35 dB</w:t>
            </w:r>
          </w:p>
          <w:p w14:paraId="34359243">
            <w:pPr>
              <w:spacing w:line="400" w:lineRule="exact"/>
              <w:jc w:val="left"/>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温度性能：-</w:t>
            </w:r>
            <w:r>
              <w:rPr>
                <w:rFonts w:hint="eastAsia" w:ascii="宋体" w:hAnsi="宋体"/>
                <w:color w:val="auto"/>
                <w:sz w:val="21"/>
                <w:szCs w:val="21"/>
                <w:lang w:val="en-US" w:eastAsia="zh-CN"/>
              </w:rPr>
              <w:t>1</w:t>
            </w:r>
            <w:r>
              <w:rPr>
                <w:rFonts w:hint="eastAsia" w:ascii="宋体" w:hAnsi="宋体"/>
                <w:color w:val="auto"/>
                <w:sz w:val="21"/>
                <w:szCs w:val="21"/>
              </w:rPr>
              <w:t>0℃-+80℃</w:t>
            </w:r>
          </w:p>
        </w:tc>
        <w:tc>
          <w:tcPr>
            <w:tcW w:w="614" w:type="dxa"/>
            <w:vAlign w:val="center"/>
          </w:tcPr>
          <w:p w14:paraId="0638D0B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4CAC7F3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931" w:type="dxa"/>
            <w:vAlign w:val="center"/>
          </w:tcPr>
          <w:p w14:paraId="1098F5F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70</w:t>
            </w:r>
          </w:p>
        </w:tc>
        <w:tc>
          <w:tcPr>
            <w:tcW w:w="931" w:type="dxa"/>
            <w:vAlign w:val="center"/>
          </w:tcPr>
          <w:p w14:paraId="5720B2C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700</w:t>
            </w:r>
          </w:p>
        </w:tc>
      </w:tr>
      <w:tr w14:paraId="0326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B41875C">
            <w:pPr>
              <w:widowControl/>
              <w:spacing w:line="400" w:lineRule="exact"/>
              <w:jc w:val="center"/>
              <w:rPr>
                <w:color w:val="auto"/>
                <w:kern w:val="0"/>
                <w:sz w:val="21"/>
                <w:szCs w:val="21"/>
              </w:rPr>
            </w:pPr>
            <w:r>
              <w:rPr>
                <w:color w:val="auto"/>
                <w:kern w:val="0"/>
                <w:sz w:val="21"/>
                <w:szCs w:val="21"/>
              </w:rPr>
              <w:t>15</w:t>
            </w:r>
          </w:p>
        </w:tc>
        <w:tc>
          <w:tcPr>
            <w:tcW w:w="951" w:type="dxa"/>
            <w:gridSpan w:val="2"/>
            <w:vAlign w:val="center"/>
          </w:tcPr>
          <w:p w14:paraId="7BF2AE08">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光跳线（单模LC-LC）3米</w:t>
            </w:r>
          </w:p>
        </w:tc>
        <w:tc>
          <w:tcPr>
            <w:tcW w:w="1843" w:type="dxa"/>
            <w:vAlign w:val="center"/>
          </w:tcPr>
          <w:p w14:paraId="280B7267">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1565EA2D">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插入损耗≤0.3 dB  回波损耗≥35 dB</w:t>
            </w:r>
          </w:p>
          <w:p w14:paraId="01D56C2F">
            <w:pPr>
              <w:spacing w:line="400" w:lineRule="exact"/>
              <w:jc w:val="left"/>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温度性能：-</w:t>
            </w:r>
            <w:r>
              <w:rPr>
                <w:rFonts w:hint="eastAsia" w:ascii="宋体" w:hAnsi="宋体"/>
                <w:color w:val="auto"/>
                <w:sz w:val="21"/>
                <w:szCs w:val="21"/>
                <w:lang w:val="en-US" w:eastAsia="zh-CN"/>
              </w:rPr>
              <w:t>1</w:t>
            </w:r>
            <w:r>
              <w:rPr>
                <w:rFonts w:hint="eastAsia" w:ascii="宋体" w:hAnsi="宋体"/>
                <w:color w:val="auto"/>
                <w:sz w:val="21"/>
                <w:szCs w:val="21"/>
              </w:rPr>
              <w:t>0℃-+80℃</w:t>
            </w:r>
          </w:p>
        </w:tc>
        <w:tc>
          <w:tcPr>
            <w:tcW w:w="614" w:type="dxa"/>
            <w:vAlign w:val="center"/>
          </w:tcPr>
          <w:p w14:paraId="73A4048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764E13B2">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931" w:type="dxa"/>
            <w:vAlign w:val="center"/>
          </w:tcPr>
          <w:p w14:paraId="2C56790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80</w:t>
            </w:r>
          </w:p>
        </w:tc>
        <w:tc>
          <w:tcPr>
            <w:tcW w:w="931" w:type="dxa"/>
            <w:vAlign w:val="center"/>
          </w:tcPr>
          <w:p w14:paraId="0C6E6BB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800</w:t>
            </w:r>
          </w:p>
        </w:tc>
      </w:tr>
      <w:tr w14:paraId="675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70EBD03C">
            <w:pPr>
              <w:widowControl/>
              <w:spacing w:line="400" w:lineRule="exact"/>
              <w:jc w:val="center"/>
              <w:rPr>
                <w:color w:val="auto"/>
                <w:kern w:val="0"/>
                <w:sz w:val="21"/>
                <w:szCs w:val="21"/>
              </w:rPr>
            </w:pPr>
            <w:r>
              <w:rPr>
                <w:color w:val="auto"/>
                <w:kern w:val="0"/>
                <w:sz w:val="21"/>
                <w:szCs w:val="21"/>
              </w:rPr>
              <w:t>16</w:t>
            </w:r>
          </w:p>
        </w:tc>
        <w:tc>
          <w:tcPr>
            <w:tcW w:w="951" w:type="dxa"/>
            <w:gridSpan w:val="2"/>
            <w:vAlign w:val="center"/>
          </w:tcPr>
          <w:p w14:paraId="21A07B0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光跳线（单模LC-LC）5米</w:t>
            </w:r>
          </w:p>
        </w:tc>
        <w:tc>
          <w:tcPr>
            <w:tcW w:w="1843" w:type="dxa"/>
            <w:vAlign w:val="center"/>
          </w:tcPr>
          <w:p w14:paraId="249D3F79">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618C249F">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插入损耗≤0.3 dB  回波损耗≥35 dB</w:t>
            </w:r>
          </w:p>
          <w:p w14:paraId="5865E2CB">
            <w:pPr>
              <w:spacing w:line="400" w:lineRule="exact"/>
              <w:jc w:val="left"/>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温度性能：-</w:t>
            </w:r>
            <w:r>
              <w:rPr>
                <w:rFonts w:hint="eastAsia" w:ascii="宋体" w:hAnsi="宋体"/>
                <w:color w:val="auto"/>
                <w:sz w:val="21"/>
                <w:szCs w:val="21"/>
                <w:lang w:val="en-US" w:eastAsia="zh-CN"/>
              </w:rPr>
              <w:t>1</w:t>
            </w:r>
            <w:r>
              <w:rPr>
                <w:rFonts w:hint="eastAsia" w:ascii="宋体" w:hAnsi="宋体"/>
                <w:color w:val="auto"/>
                <w:sz w:val="21"/>
                <w:szCs w:val="21"/>
              </w:rPr>
              <w:t>0℃-+80℃</w:t>
            </w:r>
          </w:p>
        </w:tc>
        <w:tc>
          <w:tcPr>
            <w:tcW w:w="614" w:type="dxa"/>
            <w:vAlign w:val="center"/>
          </w:tcPr>
          <w:p w14:paraId="57BA695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25677E5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0E671D70">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90</w:t>
            </w:r>
          </w:p>
        </w:tc>
        <w:tc>
          <w:tcPr>
            <w:tcW w:w="931" w:type="dxa"/>
            <w:vAlign w:val="center"/>
          </w:tcPr>
          <w:p w14:paraId="24E103E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90</w:t>
            </w:r>
          </w:p>
        </w:tc>
      </w:tr>
      <w:tr w14:paraId="0A3E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44FA94B6">
            <w:pPr>
              <w:widowControl/>
              <w:spacing w:line="400" w:lineRule="exact"/>
              <w:jc w:val="center"/>
              <w:rPr>
                <w:color w:val="auto"/>
                <w:kern w:val="0"/>
                <w:sz w:val="21"/>
                <w:szCs w:val="21"/>
              </w:rPr>
            </w:pPr>
            <w:r>
              <w:rPr>
                <w:color w:val="auto"/>
                <w:kern w:val="0"/>
                <w:sz w:val="21"/>
                <w:szCs w:val="21"/>
              </w:rPr>
              <w:t>17</w:t>
            </w:r>
          </w:p>
        </w:tc>
        <w:tc>
          <w:tcPr>
            <w:tcW w:w="951" w:type="dxa"/>
            <w:gridSpan w:val="2"/>
            <w:vAlign w:val="center"/>
          </w:tcPr>
          <w:p w14:paraId="5C27D1F9">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光跳线（多模LC-LC）3米</w:t>
            </w:r>
          </w:p>
        </w:tc>
        <w:tc>
          <w:tcPr>
            <w:tcW w:w="1843" w:type="dxa"/>
            <w:vAlign w:val="center"/>
          </w:tcPr>
          <w:p w14:paraId="7EAF1EB6">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146FE6CD">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插入损耗≤0.3 dB  回波损耗≥35 dB</w:t>
            </w:r>
          </w:p>
          <w:p w14:paraId="23F5F408">
            <w:pPr>
              <w:spacing w:line="400" w:lineRule="exact"/>
              <w:jc w:val="left"/>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温度性能：-</w:t>
            </w:r>
            <w:r>
              <w:rPr>
                <w:rFonts w:hint="eastAsia" w:ascii="宋体" w:hAnsi="宋体"/>
                <w:color w:val="auto"/>
                <w:sz w:val="21"/>
                <w:szCs w:val="21"/>
                <w:lang w:val="en-US" w:eastAsia="zh-CN"/>
              </w:rPr>
              <w:t>1</w:t>
            </w:r>
            <w:r>
              <w:rPr>
                <w:rFonts w:hint="eastAsia" w:ascii="宋体" w:hAnsi="宋体"/>
                <w:color w:val="auto"/>
                <w:sz w:val="21"/>
                <w:szCs w:val="21"/>
              </w:rPr>
              <w:t>0℃-+80℃</w:t>
            </w:r>
          </w:p>
        </w:tc>
        <w:tc>
          <w:tcPr>
            <w:tcW w:w="614" w:type="dxa"/>
            <w:vAlign w:val="center"/>
          </w:tcPr>
          <w:p w14:paraId="2D9F9B2B">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5F10864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17FD355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100</w:t>
            </w:r>
          </w:p>
        </w:tc>
        <w:tc>
          <w:tcPr>
            <w:tcW w:w="931" w:type="dxa"/>
            <w:vAlign w:val="center"/>
          </w:tcPr>
          <w:p w14:paraId="67F3ACE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100</w:t>
            </w:r>
          </w:p>
        </w:tc>
      </w:tr>
      <w:tr w14:paraId="508D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0DC594C7">
            <w:pPr>
              <w:widowControl/>
              <w:spacing w:line="400" w:lineRule="exact"/>
              <w:jc w:val="center"/>
              <w:rPr>
                <w:color w:val="auto"/>
                <w:kern w:val="0"/>
                <w:sz w:val="21"/>
                <w:szCs w:val="21"/>
              </w:rPr>
            </w:pPr>
            <w:r>
              <w:rPr>
                <w:color w:val="auto"/>
                <w:kern w:val="0"/>
                <w:sz w:val="21"/>
                <w:szCs w:val="21"/>
              </w:rPr>
              <w:t>18</w:t>
            </w:r>
          </w:p>
        </w:tc>
        <w:tc>
          <w:tcPr>
            <w:tcW w:w="951" w:type="dxa"/>
            <w:gridSpan w:val="2"/>
            <w:vAlign w:val="center"/>
          </w:tcPr>
          <w:p w14:paraId="6FE94E69">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光跳线（多模LC-LC）5米</w:t>
            </w:r>
          </w:p>
        </w:tc>
        <w:tc>
          <w:tcPr>
            <w:tcW w:w="1843" w:type="dxa"/>
            <w:vAlign w:val="center"/>
          </w:tcPr>
          <w:p w14:paraId="64721438">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077E8EC6">
            <w:pPr>
              <w:spacing w:line="400" w:lineRule="exact"/>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ab/>
            </w:r>
            <w:r>
              <w:rPr>
                <w:rFonts w:hint="eastAsia" w:ascii="宋体" w:hAnsi="宋体"/>
                <w:color w:val="auto"/>
                <w:sz w:val="21"/>
                <w:szCs w:val="21"/>
              </w:rPr>
              <w:t>通过TIA/EIA-568-A（CSA T529-95）、IEC 874-1 光纤连接器一般要求，用于光纤配线架到有源设备的连接。</w:t>
            </w:r>
          </w:p>
          <w:p w14:paraId="1D380106">
            <w:pPr>
              <w:spacing w:line="400" w:lineRule="exact"/>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rPr>
              <w:tab/>
            </w:r>
            <w:r>
              <w:rPr>
                <w:rFonts w:hint="eastAsia" w:ascii="宋体" w:hAnsi="宋体"/>
                <w:color w:val="auto"/>
                <w:sz w:val="21"/>
                <w:szCs w:val="21"/>
              </w:rPr>
              <w:t>插入损耗≤0.3 dB  回波损耗≥35 dB</w:t>
            </w:r>
          </w:p>
          <w:p w14:paraId="088BF469">
            <w:pPr>
              <w:spacing w:line="400" w:lineRule="exact"/>
              <w:jc w:val="left"/>
              <w:rPr>
                <w:rFonts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rPr>
              <w:tab/>
            </w:r>
            <w:r>
              <w:rPr>
                <w:rFonts w:hint="eastAsia" w:ascii="宋体" w:hAnsi="宋体"/>
                <w:color w:val="auto"/>
                <w:sz w:val="21"/>
                <w:szCs w:val="21"/>
              </w:rPr>
              <w:t>温度性能：-</w:t>
            </w:r>
            <w:r>
              <w:rPr>
                <w:rFonts w:hint="eastAsia" w:ascii="宋体" w:hAnsi="宋体"/>
                <w:color w:val="auto"/>
                <w:sz w:val="21"/>
                <w:szCs w:val="21"/>
                <w:lang w:val="en-US" w:eastAsia="zh-CN"/>
              </w:rPr>
              <w:t>1</w:t>
            </w:r>
            <w:r>
              <w:rPr>
                <w:rFonts w:hint="eastAsia" w:ascii="宋体" w:hAnsi="宋体"/>
                <w:color w:val="auto"/>
                <w:sz w:val="21"/>
                <w:szCs w:val="21"/>
              </w:rPr>
              <w:t>0℃-+80℃</w:t>
            </w:r>
          </w:p>
        </w:tc>
        <w:tc>
          <w:tcPr>
            <w:tcW w:w="614" w:type="dxa"/>
            <w:vAlign w:val="center"/>
          </w:tcPr>
          <w:p w14:paraId="7C2C2094">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43EAD60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2322E6E0">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120</w:t>
            </w:r>
          </w:p>
        </w:tc>
        <w:tc>
          <w:tcPr>
            <w:tcW w:w="931" w:type="dxa"/>
            <w:vAlign w:val="center"/>
          </w:tcPr>
          <w:p w14:paraId="0CFFE8A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120</w:t>
            </w:r>
          </w:p>
        </w:tc>
      </w:tr>
      <w:tr w14:paraId="450E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60C6A38">
            <w:pPr>
              <w:widowControl/>
              <w:spacing w:line="400" w:lineRule="exact"/>
              <w:jc w:val="center"/>
              <w:rPr>
                <w:color w:val="auto"/>
                <w:kern w:val="0"/>
                <w:sz w:val="21"/>
                <w:szCs w:val="21"/>
              </w:rPr>
            </w:pPr>
            <w:r>
              <w:rPr>
                <w:color w:val="auto"/>
                <w:kern w:val="0"/>
                <w:sz w:val="21"/>
                <w:szCs w:val="21"/>
              </w:rPr>
              <w:t>19</w:t>
            </w:r>
          </w:p>
        </w:tc>
        <w:tc>
          <w:tcPr>
            <w:tcW w:w="951" w:type="dxa"/>
            <w:gridSpan w:val="2"/>
            <w:vAlign w:val="center"/>
          </w:tcPr>
          <w:p w14:paraId="3553D4DD">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六类非屏蔽跳线（2米）</w:t>
            </w:r>
          </w:p>
        </w:tc>
        <w:tc>
          <w:tcPr>
            <w:tcW w:w="1843" w:type="dxa"/>
            <w:vAlign w:val="center"/>
          </w:tcPr>
          <w:p w14:paraId="6C19F90D">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77F82C8E">
            <w:pPr>
              <w:spacing w:line="400" w:lineRule="exact"/>
              <w:jc w:val="left"/>
              <w:rPr>
                <w:rFonts w:ascii="宋体" w:hAnsi="宋体"/>
                <w:color w:val="auto"/>
                <w:sz w:val="21"/>
                <w:szCs w:val="21"/>
              </w:rPr>
            </w:pPr>
            <w:r>
              <w:rPr>
                <w:rFonts w:hint="eastAsia" w:ascii="宋体" w:hAnsi="宋体"/>
                <w:color w:val="auto"/>
                <w:sz w:val="21"/>
                <w:szCs w:val="21"/>
              </w:rPr>
              <w:t>1、采用六类多股软线和六类RJ45跳接头, 六类RJ45跳接头采用物理线缆隔离技术, 实现最大限度的线对平衡。</w:t>
            </w:r>
          </w:p>
          <w:p w14:paraId="06D22FC9">
            <w:pPr>
              <w:spacing w:line="400" w:lineRule="exact"/>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、可提供高达250MHz可用带宽</w:t>
            </w:r>
          </w:p>
          <w:p w14:paraId="487FF096">
            <w:pPr>
              <w:spacing w:line="400" w:lineRule="exact"/>
              <w:jc w:val="left"/>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、每一根跳线都经过恒重拉力试验，保证产品在使用中的可靠性。</w:t>
            </w:r>
          </w:p>
          <w:p w14:paraId="6F3D77AA">
            <w:pPr>
              <w:spacing w:line="400" w:lineRule="exact"/>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、提供多种颜色，多种长度</w:t>
            </w:r>
          </w:p>
        </w:tc>
        <w:tc>
          <w:tcPr>
            <w:tcW w:w="614" w:type="dxa"/>
            <w:vAlign w:val="center"/>
          </w:tcPr>
          <w:p w14:paraId="2424B869">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2FC34D2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500</w:t>
            </w:r>
          </w:p>
        </w:tc>
        <w:tc>
          <w:tcPr>
            <w:tcW w:w="931" w:type="dxa"/>
            <w:vAlign w:val="center"/>
          </w:tcPr>
          <w:p w14:paraId="727426D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40</w:t>
            </w:r>
          </w:p>
        </w:tc>
        <w:tc>
          <w:tcPr>
            <w:tcW w:w="931" w:type="dxa"/>
            <w:vAlign w:val="center"/>
          </w:tcPr>
          <w:p w14:paraId="6D03C79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20000</w:t>
            </w:r>
          </w:p>
        </w:tc>
      </w:tr>
      <w:tr w14:paraId="01F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4673E1C2">
            <w:pPr>
              <w:widowControl/>
              <w:spacing w:line="400" w:lineRule="exact"/>
              <w:jc w:val="center"/>
              <w:rPr>
                <w:color w:val="auto"/>
                <w:kern w:val="0"/>
                <w:sz w:val="21"/>
                <w:szCs w:val="21"/>
              </w:rPr>
            </w:pPr>
            <w:r>
              <w:rPr>
                <w:color w:val="auto"/>
                <w:kern w:val="0"/>
                <w:sz w:val="21"/>
                <w:szCs w:val="21"/>
              </w:rPr>
              <w:t>20</w:t>
            </w:r>
          </w:p>
        </w:tc>
        <w:tc>
          <w:tcPr>
            <w:tcW w:w="951" w:type="dxa"/>
            <w:gridSpan w:val="2"/>
            <w:vAlign w:val="center"/>
          </w:tcPr>
          <w:p w14:paraId="66A8A80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六类非屏蔽跳线（3米）</w:t>
            </w:r>
          </w:p>
        </w:tc>
        <w:tc>
          <w:tcPr>
            <w:tcW w:w="1843" w:type="dxa"/>
            <w:vAlign w:val="center"/>
          </w:tcPr>
          <w:p w14:paraId="6F437C4B">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3D717EBC">
            <w:pPr>
              <w:spacing w:line="400" w:lineRule="exact"/>
              <w:jc w:val="left"/>
              <w:rPr>
                <w:rFonts w:ascii="宋体" w:hAnsi="宋体"/>
                <w:color w:val="auto"/>
                <w:sz w:val="21"/>
                <w:szCs w:val="21"/>
              </w:rPr>
            </w:pPr>
            <w:r>
              <w:rPr>
                <w:rFonts w:hint="eastAsia" w:ascii="宋体" w:hAnsi="宋体"/>
                <w:color w:val="auto"/>
                <w:sz w:val="21"/>
                <w:szCs w:val="21"/>
              </w:rPr>
              <w:t>1、采用六类多股软线和六类RJ45跳接头, 六类RJ45跳接头采用物理线缆隔离技术, 实现最大限度的线对平衡。</w:t>
            </w:r>
          </w:p>
          <w:p w14:paraId="4617D38E">
            <w:pPr>
              <w:spacing w:line="400" w:lineRule="exact"/>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、可提供高达250MHz可用带宽</w:t>
            </w:r>
          </w:p>
          <w:p w14:paraId="1B1BBF96">
            <w:pPr>
              <w:spacing w:line="400" w:lineRule="exact"/>
              <w:jc w:val="left"/>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rPr>
              <w:tab/>
            </w:r>
            <w:r>
              <w:rPr>
                <w:rFonts w:hint="eastAsia" w:ascii="宋体" w:hAnsi="宋体"/>
                <w:color w:val="auto"/>
                <w:sz w:val="21"/>
                <w:szCs w:val="21"/>
              </w:rPr>
              <w:t>每一根跳线都经过恒重拉力试验，保证产品在使用中的可靠性。</w:t>
            </w:r>
          </w:p>
          <w:p w14:paraId="12919E88">
            <w:pPr>
              <w:spacing w:line="400" w:lineRule="exact"/>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、提供多种颜色，多种长度</w:t>
            </w:r>
          </w:p>
        </w:tc>
        <w:tc>
          <w:tcPr>
            <w:tcW w:w="614" w:type="dxa"/>
            <w:vAlign w:val="center"/>
          </w:tcPr>
          <w:p w14:paraId="777B945B">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条</w:t>
            </w:r>
          </w:p>
        </w:tc>
        <w:tc>
          <w:tcPr>
            <w:tcW w:w="747" w:type="dxa"/>
            <w:vAlign w:val="center"/>
          </w:tcPr>
          <w:p w14:paraId="5AF755CD">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5DA3854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931" w:type="dxa"/>
            <w:vAlign w:val="center"/>
          </w:tcPr>
          <w:p w14:paraId="653D76B2">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60</w:t>
            </w:r>
          </w:p>
        </w:tc>
      </w:tr>
      <w:tr w14:paraId="20D3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EF02CD4">
            <w:pPr>
              <w:widowControl/>
              <w:spacing w:line="400" w:lineRule="exact"/>
              <w:jc w:val="center"/>
              <w:rPr>
                <w:color w:val="auto"/>
                <w:kern w:val="0"/>
                <w:sz w:val="21"/>
                <w:szCs w:val="21"/>
              </w:rPr>
            </w:pPr>
            <w:r>
              <w:rPr>
                <w:color w:val="auto"/>
                <w:kern w:val="0"/>
                <w:sz w:val="21"/>
                <w:szCs w:val="21"/>
              </w:rPr>
              <w:t>21</w:t>
            </w:r>
          </w:p>
        </w:tc>
        <w:tc>
          <w:tcPr>
            <w:tcW w:w="951" w:type="dxa"/>
            <w:gridSpan w:val="2"/>
            <w:vAlign w:val="center"/>
          </w:tcPr>
          <w:p w14:paraId="1EF48B9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19″标准机柜1U理线器</w:t>
            </w:r>
          </w:p>
        </w:tc>
        <w:tc>
          <w:tcPr>
            <w:tcW w:w="1843" w:type="dxa"/>
            <w:vAlign w:val="center"/>
          </w:tcPr>
          <w:p w14:paraId="269B469E">
            <w:pPr>
              <w:widowControl/>
              <w:spacing w:line="400" w:lineRule="exact"/>
              <w:jc w:val="center"/>
              <w:rPr>
                <w:rFonts w:ascii="宋体" w:hAnsi="宋体"/>
                <w:color w:val="auto"/>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2DF0E86D">
            <w:pPr>
              <w:spacing w:line="400" w:lineRule="exact"/>
              <w:jc w:val="left"/>
              <w:rPr>
                <w:rFonts w:ascii="宋体" w:hAnsi="宋体"/>
                <w:color w:val="auto"/>
                <w:sz w:val="21"/>
                <w:szCs w:val="21"/>
              </w:rPr>
            </w:pPr>
            <w:r>
              <w:rPr>
                <w:rFonts w:hint="eastAsia" w:ascii="宋体" w:hAnsi="宋体"/>
                <w:color w:val="auto"/>
                <w:sz w:val="21"/>
                <w:szCs w:val="21"/>
              </w:rPr>
              <w:t>1、标准19英寸机架式安装，高度：1U</w:t>
            </w:r>
          </w:p>
          <w:p w14:paraId="0E116CF3">
            <w:pPr>
              <w:spacing w:line="400" w:lineRule="exact"/>
              <w:jc w:val="left"/>
              <w:rPr>
                <w:rFonts w:ascii="宋体" w:hAnsi="宋体"/>
                <w:color w:val="auto"/>
                <w:sz w:val="21"/>
                <w:szCs w:val="21"/>
              </w:rPr>
            </w:pPr>
            <w:r>
              <w:rPr>
                <w:rFonts w:hint="eastAsia" w:ascii="宋体" w:hAnsi="宋体"/>
                <w:color w:val="auto"/>
                <w:sz w:val="21"/>
                <w:szCs w:val="21"/>
              </w:rPr>
              <w:t>★2、材料及厚度（mm）：SPCC冷轧钢板表面脱脂、磷化、静电喷塑处理，架体</w:t>
            </w:r>
            <w:r>
              <w:rPr>
                <w:rFonts w:hint="eastAsia" w:ascii="宋体" w:hAnsi="宋体"/>
                <w:color w:val="auto"/>
                <w:sz w:val="21"/>
                <w:szCs w:val="21"/>
                <w:lang w:val="en-US" w:eastAsia="zh-CN"/>
              </w:rPr>
              <w:t>约</w:t>
            </w:r>
            <w:r>
              <w:rPr>
                <w:rFonts w:hint="eastAsia" w:ascii="宋体" w:hAnsi="宋体"/>
                <w:color w:val="auto"/>
                <w:sz w:val="21"/>
                <w:szCs w:val="21"/>
              </w:rPr>
              <w:t>1.2</w:t>
            </w:r>
            <w:r>
              <w:rPr>
                <w:rStyle w:val="19"/>
                <w:rFonts w:hint="eastAsia"/>
                <w:color w:val="auto"/>
                <w:sz w:val="21"/>
                <w:szCs w:val="21"/>
                <w:lang w:val="en-US" w:eastAsia="zh-CN"/>
              </w:rPr>
              <w:t>mm</w:t>
            </w:r>
            <w:r>
              <w:rPr>
                <w:rFonts w:hint="eastAsia" w:ascii="宋体" w:hAnsi="宋体"/>
                <w:color w:val="auto"/>
                <w:sz w:val="21"/>
                <w:szCs w:val="21"/>
              </w:rPr>
              <w:t>，盖板</w:t>
            </w:r>
            <w:r>
              <w:rPr>
                <w:rFonts w:hint="eastAsia" w:ascii="宋体" w:hAnsi="宋体"/>
                <w:color w:val="auto"/>
                <w:sz w:val="21"/>
                <w:szCs w:val="21"/>
                <w:lang w:eastAsia="zh-CN"/>
              </w:rPr>
              <w:t>约</w:t>
            </w:r>
            <w:r>
              <w:rPr>
                <w:rFonts w:hint="eastAsia" w:ascii="宋体" w:hAnsi="宋体"/>
                <w:color w:val="auto"/>
                <w:sz w:val="21"/>
                <w:szCs w:val="21"/>
              </w:rPr>
              <w:t>1.0mm</w:t>
            </w:r>
          </w:p>
          <w:p w14:paraId="4D8D6777">
            <w:pPr>
              <w:spacing w:line="400" w:lineRule="exact"/>
              <w:jc w:val="left"/>
              <w:rPr>
                <w:rFonts w:hint="eastAsia" w:ascii="宋体" w:hAnsi="宋体" w:eastAsia="宋体"/>
                <w:color w:val="auto"/>
                <w:sz w:val="21"/>
                <w:szCs w:val="21"/>
                <w:lang w:eastAsia="zh-CN"/>
              </w:rPr>
            </w:pPr>
            <w:r>
              <w:rPr>
                <w:rFonts w:hint="eastAsia" w:ascii="宋体" w:hAnsi="宋体"/>
                <w:color w:val="auto"/>
                <w:sz w:val="21"/>
                <w:szCs w:val="21"/>
              </w:rPr>
              <w:t>3、带有盖板，盖板上具有模压品牌标识</w:t>
            </w:r>
            <w:r>
              <w:rPr>
                <w:rFonts w:hint="eastAsia" w:ascii="宋体" w:hAnsi="宋体"/>
                <w:color w:val="auto"/>
                <w:sz w:val="21"/>
                <w:szCs w:val="21"/>
                <w:lang w:eastAsia="zh-CN"/>
              </w:rPr>
              <w:t>。</w:t>
            </w:r>
          </w:p>
          <w:p w14:paraId="44C71B1E">
            <w:pPr>
              <w:spacing w:line="400" w:lineRule="exact"/>
              <w:jc w:val="left"/>
              <w:rPr>
                <w:rFonts w:ascii="宋体" w:hAnsi="宋体"/>
                <w:color w:val="auto"/>
                <w:sz w:val="21"/>
                <w:szCs w:val="21"/>
              </w:rPr>
            </w:pPr>
            <w:r>
              <w:rPr>
                <w:rFonts w:hint="eastAsia" w:ascii="宋体" w:hAnsi="宋体"/>
                <w:color w:val="auto"/>
                <w:sz w:val="21"/>
                <w:szCs w:val="21"/>
              </w:rPr>
              <w:t>4、理线档位：上下各24档</w:t>
            </w:r>
          </w:p>
          <w:p w14:paraId="25683467">
            <w:pPr>
              <w:spacing w:line="400" w:lineRule="exact"/>
              <w:jc w:val="left"/>
              <w:rPr>
                <w:rFonts w:ascii="宋体" w:hAnsi="宋体"/>
                <w:color w:val="auto"/>
                <w:sz w:val="21"/>
                <w:szCs w:val="21"/>
              </w:rPr>
            </w:pPr>
            <w:r>
              <w:rPr>
                <w:rFonts w:hint="eastAsia" w:ascii="宋体" w:hAnsi="宋体"/>
                <w:color w:val="auto"/>
                <w:sz w:val="21"/>
                <w:szCs w:val="21"/>
              </w:rPr>
              <w:t>5、带有贯穿孔，支持前后走线和多余线缆的存放</w:t>
            </w:r>
          </w:p>
          <w:p w14:paraId="29AF197A">
            <w:pPr>
              <w:spacing w:line="400" w:lineRule="exact"/>
              <w:jc w:val="left"/>
              <w:rPr>
                <w:rFonts w:ascii="宋体" w:hAnsi="宋体"/>
                <w:color w:val="auto"/>
                <w:sz w:val="21"/>
                <w:szCs w:val="21"/>
              </w:rPr>
            </w:pPr>
            <w:r>
              <w:rPr>
                <w:rFonts w:hint="eastAsia" w:ascii="宋体" w:hAnsi="宋体"/>
                <w:color w:val="auto"/>
                <w:sz w:val="21"/>
                <w:szCs w:val="21"/>
              </w:rPr>
              <w:t>6、颜色：黑色</w:t>
            </w:r>
          </w:p>
          <w:p w14:paraId="3D7130CA">
            <w:pPr>
              <w:spacing w:line="400" w:lineRule="exact"/>
              <w:jc w:val="left"/>
              <w:rPr>
                <w:rFonts w:ascii="宋体" w:hAnsi="宋体"/>
                <w:color w:val="auto"/>
                <w:sz w:val="21"/>
                <w:szCs w:val="21"/>
              </w:rPr>
            </w:pPr>
            <w:r>
              <w:rPr>
                <w:rFonts w:hint="eastAsia" w:ascii="宋体" w:hAnsi="宋体"/>
                <w:color w:val="auto"/>
                <w:sz w:val="21"/>
                <w:szCs w:val="21"/>
              </w:rPr>
              <w:t>7、尺寸：</w:t>
            </w:r>
            <w:r>
              <w:rPr>
                <w:rFonts w:hint="eastAsia" w:ascii="宋体" w:hAnsi="宋体"/>
                <w:color w:val="auto"/>
                <w:sz w:val="21"/>
                <w:szCs w:val="21"/>
                <w:lang w:eastAsia="zh-CN"/>
              </w:rPr>
              <w:t>约长</w:t>
            </w:r>
            <w:r>
              <w:rPr>
                <w:rFonts w:hint="eastAsia" w:ascii="宋体" w:hAnsi="宋体"/>
                <w:color w:val="auto"/>
                <w:sz w:val="21"/>
                <w:szCs w:val="21"/>
              </w:rPr>
              <w:t>482×</w:t>
            </w:r>
            <w:r>
              <w:rPr>
                <w:rFonts w:hint="eastAsia" w:ascii="宋体" w:hAnsi="宋体"/>
                <w:color w:val="auto"/>
                <w:sz w:val="21"/>
                <w:szCs w:val="21"/>
                <w:lang w:eastAsia="zh-CN"/>
              </w:rPr>
              <w:t>宽</w:t>
            </w:r>
            <w:r>
              <w:rPr>
                <w:rFonts w:hint="eastAsia" w:ascii="宋体" w:hAnsi="宋体"/>
                <w:color w:val="auto"/>
                <w:sz w:val="21"/>
                <w:szCs w:val="21"/>
              </w:rPr>
              <w:t>44×</w:t>
            </w:r>
            <w:r>
              <w:rPr>
                <w:rFonts w:hint="eastAsia" w:ascii="宋体" w:hAnsi="宋体"/>
                <w:color w:val="auto"/>
                <w:sz w:val="21"/>
                <w:szCs w:val="21"/>
                <w:lang w:eastAsia="zh-CN"/>
              </w:rPr>
              <w:t>高</w:t>
            </w:r>
            <w:r>
              <w:rPr>
                <w:rFonts w:hint="eastAsia" w:ascii="宋体" w:hAnsi="宋体"/>
                <w:color w:val="auto"/>
                <w:sz w:val="21"/>
                <w:szCs w:val="21"/>
              </w:rPr>
              <w:t>80mm</w:t>
            </w:r>
          </w:p>
          <w:p w14:paraId="3A699C8F">
            <w:pPr>
              <w:spacing w:line="400" w:lineRule="exact"/>
              <w:jc w:val="left"/>
              <w:rPr>
                <w:rFonts w:ascii="宋体" w:hAnsi="宋体"/>
                <w:color w:val="auto"/>
                <w:sz w:val="21"/>
                <w:szCs w:val="21"/>
              </w:rPr>
            </w:pPr>
            <w:r>
              <w:rPr>
                <w:rFonts w:hint="eastAsia" w:ascii="宋体" w:hAnsi="宋体"/>
                <w:color w:val="auto"/>
                <w:sz w:val="21"/>
                <w:szCs w:val="21"/>
              </w:rPr>
              <w:t>8、对线缆进行灵活、有效和安全的管理，要求布线系统整洁美观，设计简洁，便于施工。</w:t>
            </w:r>
          </w:p>
        </w:tc>
        <w:tc>
          <w:tcPr>
            <w:tcW w:w="614" w:type="dxa"/>
            <w:vAlign w:val="center"/>
          </w:tcPr>
          <w:p w14:paraId="00A7F85D">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46EFB62A">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931" w:type="dxa"/>
            <w:vAlign w:val="center"/>
          </w:tcPr>
          <w:p w14:paraId="752C53C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52</w:t>
            </w:r>
          </w:p>
        </w:tc>
        <w:tc>
          <w:tcPr>
            <w:tcW w:w="931" w:type="dxa"/>
            <w:vAlign w:val="center"/>
          </w:tcPr>
          <w:p w14:paraId="4097F661">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52</w:t>
            </w:r>
          </w:p>
        </w:tc>
      </w:tr>
      <w:tr w14:paraId="3F7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75A5F951">
            <w:pPr>
              <w:widowControl/>
              <w:spacing w:line="400" w:lineRule="exact"/>
              <w:jc w:val="center"/>
              <w:rPr>
                <w:color w:val="auto"/>
                <w:kern w:val="0"/>
                <w:sz w:val="21"/>
                <w:szCs w:val="21"/>
              </w:rPr>
            </w:pPr>
            <w:r>
              <w:rPr>
                <w:color w:val="auto"/>
                <w:kern w:val="0"/>
                <w:sz w:val="21"/>
                <w:szCs w:val="21"/>
              </w:rPr>
              <w:t>22</w:t>
            </w:r>
          </w:p>
        </w:tc>
        <w:tc>
          <w:tcPr>
            <w:tcW w:w="951" w:type="dxa"/>
            <w:gridSpan w:val="2"/>
            <w:vAlign w:val="center"/>
          </w:tcPr>
          <w:p w14:paraId="7B5A8332">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12U壁挂式机柜</w:t>
            </w:r>
          </w:p>
        </w:tc>
        <w:tc>
          <w:tcPr>
            <w:tcW w:w="1843" w:type="dxa"/>
            <w:vAlign w:val="center"/>
          </w:tcPr>
          <w:p w14:paraId="5A680F39">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金盾、一舟、图腾</w:t>
            </w:r>
            <w:r>
              <w:rPr>
                <w:rFonts w:hint="eastAsia"/>
                <w:color w:val="auto"/>
                <w:sz w:val="21"/>
                <w:szCs w:val="21"/>
              </w:rPr>
              <w:t>或同等级以上档次品牌</w:t>
            </w:r>
          </w:p>
        </w:tc>
        <w:tc>
          <w:tcPr>
            <w:tcW w:w="4244" w:type="dxa"/>
            <w:vAlign w:val="center"/>
          </w:tcPr>
          <w:p w14:paraId="651CD37F">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1、产品尺寸（宽度×深度×高度(mm)/容量(U)）：</w:t>
            </w:r>
            <w:r>
              <w:rPr>
                <w:rFonts w:hint="eastAsia" w:ascii="宋体" w:hAnsi="宋体" w:cs="宋体"/>
                <w:color w:val="auto"/>
                <w:kern w:val="0"/>
                <w:sz w:val="21"/>
                <w:szCs w:val="21"/>
                <w:lang w:eastAsia="zh-CN"/>
              </w:rPr>
              <w:t>约</w:t>
            </w:r>
            <w:r>
              <w:rPr>
                <w:rFonts w:hint="eastAsia" w:ascii="宋体" w:hAnsi="宋体" w:cs="宋体"/>
                <w:color w:val="auto"/>
                <w:kern w:val="0"/>
                <w:sz w:val="21"/>
                <w:szCs w:val="21"/>
              </w:rPr>
              <w:t>540×450×580/12</w:t>
            </w:r>
          </w:p>
          <w:p w14:paraId="1DEAAE84">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2、最大静态负载(Kg)：≥50</w:t>
            </w:r>
          </w:p>
          <w:p w14:paraId="4F35CFB3">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3、颜色：RAL9005黑色</w:t>
            </w:r>
          </w:p>
          <w:p w14:paraId="5E6DE662">
            <w:pPr>
              <w:pStyle w:val="5"/>
              <w:rPr>
                <w:rFonts w:ascii="宋体" w:hAnsi="宋体" w:cs="宋体"/>
                <w:color w:val="auto"/>
                <w:kern w:val="0"/>
                <w:sz w:val="21"/>
                <w:szCs w:val="21"/>
              </w:rPr>
            </w:pPr>
            <w:r>
              <w:rPr>
                <w:rFonts w:hint="eastAsia" w:ascii="宋体" w:hAnsi="宋体" w:cs="宋体"/>
                <w:color w:val="auto"/>
                <w:kern w:val="0"/>
                <w:sz w:val="21"/>
                <w:szCs w:val="21"/>
              </w:rPr>
              <w:t>4、防护等级：</w:t>
            </w:r>
            <w:r>
              <w:rPr>
                <w:rFonts w:hint="eastAsia"/>
                <w:color w:val="auto"/>
                <w:sz w:val="21"/>
                <w:szCs w:val="21"/>
              </w:rPr>
              <w:t>约</w:t>
            </w:r>
            <w:r>
              <w:rPr>
                <w:rFonts w:hint="eastAsia"/>
                <w:color w:val="auto"/>
              </w:rPr>
              <w:t>≥</w:t>
            </w:r>
            <w:r>
              <w:rPr>
                <w:rFonts w:hint="eastAsia" w:ascii="宋体" w:hAnsi="宋体" w:cs="宋体"/>
                <w:color w:val="auto"/>
                <w:kern w:val="0"/>
                <w:sz w:val="21"/>
                <w:szCs w:val="21"/>
              </w:rPr>
              <w:t>IP20</w:t>
            </w:r>
          </w:p>
          <w:p w14:paraId="392C2E12">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5、机柜框架为焊接式结构</w:t>
            </w:r>
          </w:p>
          <w:p w14:paraId="6EF034AA">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6、前门：单开无门框茶色钢化玻璃门，支持180度开启，标配小圆锁</w:t>
            </w:r>
          </w:p>
          <w:p w14:paraId="10214C94">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7、两块侧板可拆卸</w:t>
            </w:r>
          </w:p>
          <w:p w14:paraId="6883961E">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8、材料为优质SPCC冷轧钢板，其中角规厚度</w:t>
            </w:r>
            <w:r>
              <w:rPr>
                <w:rFonts w:hint="eastAsia" w:ascii="宋体" w:hAnsi="宋体" w:cs="宋体"/>
                <w:color w:val="auto"/>
                <w:kern w:val="0"/>
                <w:sz w:val="21"/>
                <w:szCs w:val="21"/>
                <w:lang w:eastAsia="zh-CN"/>
              </w:rPr>
              <w:t>约</w:t>
            </w:r>
            <w:r>
              <w:rPr>
                <w:rFonts w:hint="eastAsia" w:ascii="宋体" w:hAnsi="宋体" w:cs="宋体"/>
                <w:color w:val="auto"/>
                <w:kern w:val="0"/>
                <w:sz w:val="21"/>
                <w:szCs w:val="21"/>
              </w:rPr>
              <w:t>1.2mm，其他主要部件厚度</w:t>
            </w:r>
            <w:r>
              <w:rPr>
                <w:rFonts w:hint="eastAsia" w:ascii="宋体" w:hAnsi="宋体" w:cs="宋体"/>
                <w:color w:val="auto"/>
                <w:kern w:val="0"/>
                <w:sz w:val="21"/>
                <w:szCs w:val="21"/>
                <w:lang w:eastAsia="zh-CN"/>
              </w:rPr>
              <w:t>约</w:t>
            </w:r>
            <w:r>
              <w:rPr>
                <w:rFonts w:hint="eastAsia" w:ascii="宋体" w:hAnsi="宋体" w:cs="宋体"/>
                <w:color w:val="auto"/>
                <w:kern w:val="0"/>
                <w:sz w:val="21"/>
                <w:szCs w:val="21"/>
              </w:rPr>
              <w:t>1.0mm</w:t>
            </w:r>
          </w:p>
          <w:p w14:paraId="1B22DA43">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9、表面处理：脱脂，酸洗，磷化，静电喷塑</w:t>
            </w:r>
          </w:p>
          <w:p w14:paraId="231BFC41">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10、配件：卡式螺钉螺母（M6）：≥20套（12U以上）/（12U及以下）≥10套</w:t>
            </w:r>
          </w:p>
          <w:p w14:paraId="03A92122">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11、工作温度：-5℃~+40℃，相对湿度：≤85%（+30℃），非凝结。</w:t>
            </w:r>
          </w:p>
        </w:tc>
        <w:tc>
          <w:tcPr>
            <w:tcW w:w="614" w:type="dxa"/>
            <w:vAlign w:val="center"/>
          </w:tcPr>
          <w:p w14:paraId="0A68CED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71D3345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931" w:type="dxa"/>
            <w:vAlign w:val="center"/>
          </w:tcPr>
          <w:p w14:paraId="4E8BD69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850</w:t>
            </w:r>
          </w:p>
        </w:tc>
        <w:tc>
          <w:tcPr>
            <w:tcW w:w="931" w:type="dxa"/>
            <w:vAlign w:val="center"/>
          </w:tcPr>
          <w:p w14:paraId="65B3D80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5100</w:t>
            </w:r>
          </w:p>
        </w:tc>
      </w:tr>
      <w:tr w14:paraId="46CE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62CE3AD">
            <w:pPr>
              <w:widowControl/>
              <w:spacing w:line="400" w:lineRule="exact"/>
              <w:jc w:val="center"/>
              <w:rPr>
                <w:color w:val="auto"/>
                <w:kern w:val="0"/>
                <w:sz w:val="21"/>
                <w:szCs w:val="21"/>
              </w:rPr>
            </w:pPr>
            <w:r>
              <w:rPr>
                <w:color w:val="auto"/>
                <w:kern w:val="0"/>
                <w:sz w:val="21"/>
                <w:szCs w:val="21"/>
              </w:rPr>
              <w:t>23</w:t>
            </w:r>
          </w:p>
        </w:tc>
        <w:tc>
          <w:tcPr>
            <w:tcW w:w="951" w:type="dxa"/>
            <w:gridSpan w:val="2"/>
            <w:vAlign w:val="center"/>
          </w:tcPr>
          <w:p w14:paraId="13274183">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20U壁挂式机柜</w:t>
            </w:r>
          </w:p>
        </w:tc>
        <w:tc>
          <w:tcPr>
            <w:tcW w:w="1843" w:type="dxa"/>
            <w:vAlign w:val="center"/>
          </w:tcPr>
          <w:p w14:paraId="6408F403">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金盾、一舟、图腾</w:t>
            </w:r>
            <w:r>
              <w:rPr>
                <w:rFonts w:hint="eastAsia"/>
                <w:color w:val="auto"/>
                <w:sz w:val="21"/>
                <w:szCs w:val="21"/>
              </w:rPr>
              <w:t>或同等级以上档次品牌</w:t>
            </w:r>
          </w:p>
        </w:tc>
        <w:tc>
          <w:tcPr>
            <w:tcW w:w="4244" w:type="dxa"/>
            <w:vAlign w:val="center"/>
          </w:tcPr>
          <w:p w14:paraId="4686047C">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1、产品尺寸（宽度×深度×高度(mm)/容量(U)）：约540×450×935/20</w:t>
            </w:r>
          </w:p>
          <w:p w14:paraId="1E66EA62">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2、最大静态负载(Kg)：≥50</w:t>
            </w:r>
          </w:p>
          <w:p w14:paraId="6D3A6334">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3、颜色：RAL9005黑色</w:t>
            </w:r>
          </w:p>
          <w:p w14:paraId="73FCA52B">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4、防护等级：</w:t>
            </w:r>
            <w:r>
              <w:rPr>
                <w:rFonts w:hint="eastAsia"/>
                <w:color w:val="auto"/>
              </w:rPr>
              <w:t>≥</w:t>
            </w:r>
            <w:r>
              <w:rPr>
                <w:rFonts w:hint="eastAsia" w:ascii="宋体" w:hAnsi="宋体" w:cs="宋体"/>
                <w:color w:val="auto"/>
                <w:kern w:val="0"/>
                <w:sz w:val="21"/>
                <w:szCs w:val="21"/>
              </w:rPr>
              <w:t>IP20</w:t>
            </w:r>
          </w:p>
          <w:p w14:paraId="3E595663">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5、机柜框架为焊接式结构</w:t>
            </w:r>
          </w:p>
          <w:p w14:paraId="0453DFDF">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6、前门：单开无门框茶色钢化玻璃门，支持180度开启，标配小圆锁</w:t>
            </w:r>
          </w:p>
          <w:p w14:paraId="20C02191">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7、两块侧板可拆卸，材料为优质SPCC冷轧钢板，其中角规厚度约1.5mm，其他主要部件厚度约1.0mm</w:t>
            </w:r>
          </w:p>
          <w:p w14:paraId="05D469F5">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8、表面处理：脱脂，酸洗，磷化，静电喷塑</w:t>
            </w:r>
          </w:p>
          <w:p w14:paraId="40F18AE9">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室内落地、壁挂两种方式安装</w:t>
            </w:r>
          </w:p>
          <w:p w14:paraId="0D6ADB3F">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9、配件：卡式螺钉螺母（M6）：≥20套（12U以上）/（12U及以下）≥10套</w:t>
            </w:r>
          </w:p>
          <w:p w14:paraId="5769C81E">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10、工作温度：-5℃~+40℃，相对湿度：≤85%（+30℃），非凝结。</w:t>
            </w:r>
          </w:p>
        </w:tc>
        <w:tc>
          <w:tcPr>
            <w:tcW w:w="614" w:type="dxa"/>
            <w:vAlign w:val="center"/>
          </w:tcPr>
          <w:p w14:paraId="102F04A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76D19D9B">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62982C95">
            <w:pPr>
              <w:spacing w:line="400" w:lineRule="exact"/>
              <w:jc w:val="center"/>
              <w:rPr>
                <w:rFonts w:ascii="宋体" w:hAnsi="宋体" w:cs="宋体"/>
                <w:color w:val="auto"/>
                <w:sz w:val="21"/>
                <w:szCs w:val="21"/>
              </w:rPr>
            </w:pPr>
            <w:r>
              <w:rPr>
                <w:rFonts w:hint="eastAsia" w:ascii="宋体" w:hAnsi="宋体" w:cs="宋体"/>
                <w:color w:val="auto"/>
                <w:sz w:val="21"/>
                <w:szCs w:val="21"/>
              </w:rPr>
              <w:t>1700</w:t>
            </w:r>
          </w:p>
        </w:tc>
        <w:tc>
          <w:tcPr>
            <w:tcW w:w="931" w:type="dxa"/>
            <w:vAlign w:val="center"/>
          </w:tcPr>
          <w:p w14:paraId="02F331EA">
            <w:pPr>
              <w:spacing w:line="400" w:lineRule="exact"/>
              <w:jc w:val="center"/>
              <w:rPr>
                <w:rFonts w:ascii="宋体" w:hAnsi="宋体" w:cs="宋体"/>
                <w:color w:val="auto"/>
                <w:sz w:val="21"/>
                <w:szCs w:val="21"/>
              </w:rPr>
            </w:pPr>
            <w:r>
              <w:rPr>
                <w:rFonts w:hint="eastAsia" w:ascii="宋体" w:hAnsi="宋体" w:cs="宋体"/>
                <w:color w:val="auto"/>
                <w:sz w:val="21"/>
                <w:szCs w:val="21"/>
              </w:rPr>
              <w:t>1700</w:t>
            </w:r>
          </w:p>
        </w:tc>
      </w:tr>
      <w:tr w14:paraId="4759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7DEC7100">
            <w:pPr>
              <w:widowControl/>
              <w:spacing w:line="400" w:lineRule="exact"/>
              <w:jc w:val="center"/>
              <w:rPr>
                <w:color w:val="auto"/>
                <w:kern w:val="0"/>
                <w:sz w:val="21"/>
                <w:szCs w:val="21"/>
              </w:rPr>
            </w:pPr>
            <w:r>
              <w:rPr>
                <w:color w:val="auto"/>
                <w:kern w:val="0"/>
                <w:sz w:val="21"/>
                <w:szCs w:val="21"/>
              </w:rPr>
              <w:t>24</w:t>
            </w:r>
          </w:p>
        </w:tc>
        <w:tc>
          <w:tcPr>
            <w:tcW w:w="951" w:type="dxa"/>
            <w:gridSpan w:val="2"/>
            <w:vAlign w:val="center"/>
          </w:tcPr>
          <w:p w14:paraId="72B819F0">
            <w:pPr>
              <w:widowControl/>
              <w:spacing w:line="400" w:lineRule="exact"/>
              <w:jc w:val="center"/>
              <w:rPr>
                <w:rFonts w:ascii="宋体" w:hAnsi="宋体"/>
                <w:color w:val="auto"/>
                <w:kern w:val="0"/>
                <w:sz w:val="21"/>
                <w:szCs w:val="21"/>
              </w:rPr>
            </w:pPr>
            <w:r>
              <w:rPr>
                <w:rFonts w:hint="eastAsia" w:ascii="宋体" w:hAnsi="宋体"/>
                <w:color w:val="auto"/>
                <w:kern w:val="0"/>
                <w:sz w:val="21"/>
                <w:szCs w:val="21"/>
              </w:rPr>
              <w:t>24U落地机柜</w:t>
            </w:r>
          </w:p>
        </w:tc>
        <w:tc>
          <w:tcPr>
            <w:tcW w:w="1843" w:type="dxa"/>
            <w:vAlign w:val="center"/>
          </w:tcPr>
          <w:p w14:paraId="1BC7FFA8">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金盾、一舟、图腾</w:t>
            </w:r>
            <w:r>
              <w:rPr>
                <w:rFonts w:hint="eastAsia"/>
                <w:color w:val="auto"/>
                <w:sz w:val="21"/>
                <w:szCs w:val="21"/>
              </w:rPr>
              <w:t>或同等级以上档次品牌</w:t>
            </w:r>
          </w:p>
        </w:tc>
        <w:tc>
          <w:tcPr>
            <w:tcW w:w="4244" w:type="dxa"/>
            <w:vAlign w:val="center"/>
          </w:tcPr>
          <w:p w14:paraId="62A7800F">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1、标准：GB/T19520.16</w:t>
            </w:r>
          </w:p>
          <w:p w14:paraId="4EE8A9D9">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2、产品尺寸（宽度×深度×高度(mm)/容量(U)）：</w:t>
            </w:r>
            <w:r>
              <w:rPr>
                <w:rFonts w:hint="eastAsia" w:ascii="宋体" w:hAnsi="宋体" w:cs="宋体"/>
                <w:color w:val="auto"/>
                <w:kern w:val="0"/>
                <w:sz w:val="21"/>
                <w:szCs w:val="21"/>
                <w:lang w:eastAsia="zh-CN"/>
              </w:rPr>
              <w:t>约</w:t>
            </w:r>
            <w:r>
              <w:rPr>
                <w:rFonts w:hint="eastAsia" w:ascii="宋体" w:hAnsi="宋体" w:cs="宋体"/>
                <w:color w:val="auto"/>
                <w:kern w:val="0"/>
                <w:sz w:val="21"/>
                <w:szCs w:val="21"/>
              </w:rPr>
              <w:t>600×600×1200/24负载(Kg)：静态（带支脚）：≥1000、动态：≥600</w:t>
            </w:r>
          </w:p>
          <w:p w14:paraId="4EC8C0F9">
            <w:pPr>
              <w:pStyle w:val="5"/>
              <w:rPr>
                <w:rFonts w:ascii="宋体" w:hAnsi="宋体" w:cs="宋体"/>
                <w:color w:val="auto"/>
                <w:kern w:val="0"/>
                <w:sz w:val="21"/>
                <w:szCs w:val="21"/>
              </w:rPr>
            </w:pPr>
            <w:r>
              <w:rPr>
                <w:rFonts w:hint="eastAsia" w:ascii="宋体" w:hAnsi="宋体" w:cs="宋体"/>
                <w:color w:val="auto"/>
                <w:kern w:val="0"/>
                <w:sz w:val="21"/>
                <w:szCs w:val="21"/>
              </w:rPr>
              <w:t>3、防护等级：</w:t>
            </w:r>
            <w:r>
              <w:rPr>
                <w:rFonts w:hint="eastAsia"/>
                <w:color w:val="auto"/>
                <w:sz w:val="21"/>
                <w:szCs w:val="21"/>
              </w:rPr>
              <w:t>≥</w:t>
            </w:r>
            <w:r>
              <w:rPr>
                <w:rFonts w:hint="eastAsia" w:ascii="宋体" w:hAnsi="宋体" w:cs="宋体"/>
                <w:color w:val="auto"/>
                <w:kern w:val="0"/>
                <w:sz w:val="21"/>
                <w:szCs w:val="21"/>
              </w:rPr>
              <w:t>IP20</w:t>
            </w:r>
          </w:p>
          <w:p w14:paraId="069FF3D1">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框架：拼装式结构，前后焊接框架，上下同顶底板走线孔。PDU安装孔，侧安装梁安装孔以及理线扎线所需孔</w:t>
            </w:r>
          </w:p>
          <w:p w14:paraId="415946DB">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★4、前门：单开透明约5mm钢化玻璃门、门边条带六角形通风孔，后门：单开无孔钢板后门</w:t>
            </w:r>
          </w:p>
          <w:p w14:paraId="190026AA">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两块侧板可拆卸，前后门最大开启角度≥180度</w:t>
            </w:r>
          </w:p>
          <w:p w14:paraId="35D7F8D6">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5、顶部：风扇单元从顶部安装、使用过程中拆卸维护方便，前后各≥2个进线孔、预留毛刷盖板安装孔、可走线、可安装无孔金属盖板</w:t>
            </w:r>
          </w:p>
          <w:p w14:paraId="3972029C">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6、底部：前后各≥2个进线孔、中间≥4块可调整金属中盖板、预留毛刷盖板安装孔、走线方便灵活</w:t>
            </w:r>
          </w:p>
          <w:p w14:paraId="65DADE7B">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锁具：前门长柄锁、后门小圆锁、侧板塑料快开卡扣（预留小圆锁安装孔）</w:t>
            </w:r>
          </w:p>
          <w:p w14:paraId="1895FD49">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7、机柜材料为优质SPCC冷轧钢板及覆铝锌板，横梁为覆铝锌板其余为SPCC喷塑，4根角柜均双向丝印U位标识、无方向要求，材料厚度（未喷塑前）（mm）：其中角规厚度约2.0，横梁厚度约1.5，顶底板、框架、托盘、前后门厚度约1.2㎜，其他约1.0mm</w:t>
            </w:r>
          </w:p>
          <w:p w14:paraId="4D22A2E0">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角规深度方向可前后调整</w:t>
            </w:r>
          </w:p>
          <w:p w14:paraId="44CF3E8C">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机柜预留对地安装孔</w:t>
            </w:r>
          </w:p>
          <w:p w14:paraId="5D9F4C29">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表面处理：脱脂，酸洗，磷化，静电喷塑</w:t>
            </w:r>
          </w:p>
          <w:p w14:paraId="4339AFCA">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★8、工作温度：-5℃~+40℃，相对湿度：≤85%（+30℃），非凝结。</w:t>
            </w:r>
          </w:p>
        </w:tc>
        <w:tc>
          <w:tcPr>
            <w:tcW w:w="614" w:type="dxa"/>
            <w:vAlign w:val="center"/>
          </w:tcPr>
          <w:p w14:paraId="1719ABA2">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4EDA11C2">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1EE82A40">
            <w:pPr>
              <w:spacing w:line="400" w:lineRule="exact"/>
              <w:jc w:val="center"/>
              <w:rPr>
                <w:rFonts w:ascii="宋体" w:hAnsi="宋体" w:cs="宋体"/>
                <w:color w:val="auto"/>
                <w:sz w:val="21"/>
                <w:szCs w:val="21"/>
              </w:rPr>
            </w:pPr>
            <w:r>
              <w:rPr>
                <w:rFonts w:hint="eastAsia" w:ascii="宋体" w:hAnsi="宋体" w:cs="宋体"/>
                <w:color w:val="auto"/>
                <w:sz w:val="21"/>
                <w:szCs w:val="21"/>
              </w:rPr>
              <w:t>2100</w:t>
            </w:r>
          </w:p>
        </w:tc>
        <w:tc>
          <w:tcPr>
            <w:tcW w:w="931" w:type="dxa"/>
            <w:vAlign w:val="center"/>
          </w:tcPr>
          <w:p w14:paraId="4BA9ACDF">
            <w:pPr>
              <w:spacing w:line="400" w:lineRule="exact"/>
              <w:jc w:val="center"/>
              <w:rPr>
                <w:rFonts w:ascii="宋体" w:hAnsi="宋体" w:cs="宋体"/>
                <w:color w:val="auto"/>
                <w:sz w:val="21"/>
                <w:szCs w:val="21"/>
              </w:rPr>
            </w:pPr>
            <w:r>
              <w:rPr>
                <w:rFonts w:hint="eastAsia" w:ascii="宋体" w:hAnsi="宋体" w:cs="宋体"/>
                <w:color w:val="auto"/>
                <w:sz w:val="21"/>
                <w:szCs w:val="21"/>
              </w:rPr>
              <w:t>2100</w:t>
            </w:r>
          </w:p>
        </w:tc>
      </w:tr>
      <w:tr w14:paraId="7E20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79ED002">
            <w:pPr>
              <w:widowControl/>
              <w:spacing w:line="400" w:lineRule="exact"/>
              <w:jc w:val="center"/>
              <w:rPr>
                <w:color w:val="auto"/>
                <w:kern w:val="0"/>
                <w:sz w:val="21"/>
                <w:szCs w:val="21"/>
              </w:rPr>
            </w:pPr>
            <w:r>
              <w:rPr>
                <w:color w:val="auto"/>
                <w:kern w:val="0"/>
                <w:sz w:val="21"/>
                <w:szCs w:val="21"/>
              </w:rPr>
              <w:t>25</w:t>
            </w:r>
          </w:p>
        </w:tc>
        <w:tc>
          <w:tcPr>
            <w:tcW w:w="951" w:type="dxa"/>
            <w:gridSpan w:val="2"/>
            <w:vAlign w:val="center"/>
          </w:tcPr>
          <w:p w14:paraId="029EB239">
            <w:pPr>
              <w:widowControl/>
              <w:spacing w:line="400" w:lineRule="exact"/>
              <w:jc w:val="center"/>
              <w:rPr>
                <w:rFonts w:ascii="宋体" w:hAnsi="宋体"/>
                <w:color w:val="auto"/>
                <w:kern w:val="0"/>
                <w:sz w:val="21"/>
                <w:szCs w:val="21"/>
              </w:rPr>
            </w:pPr>
            <w:r>
              <w:rPr>
                <w:rFonts w:hint="eastAsia" w:ascii="宋体" w:hAnsi="宋体"/>
                <w:color w:val="auto"/>
                <w:kern w:val="0"/>
                <w:sz w:val="21"/>
                <w:szCs w:val="21"/>
              </w:rPr>
              <w:t>千兆单模光模块</w:t>
            </w:r>
          </w:p>
        </w:tc>
        <w:tc>
          <w:tcPr>
            <w:tcW w:w="1843" w:type="dxa"/>
            <w:vAlign w:val="center"/>
          </w:tcPr>
          <w:p w14:paraId="1D27F1DA">
            <w:pPr>
              <w:widowControl/>
              <w:spacing w:line="400" w:lineRule="exact"/>
              <w:jc w:val="center"/>
              <w:rPr>
                <w:rFonts w:ascii="宋体" w:hAnsi="宋体" w:cs="宋体"/>
                <w:color w:val="auto"/>
                <w:sz w:val="21"/>
                <w:szCs w:val="21"/>
              </w:rPr>
            </w:pPr>
            <w:r>
              <w:rPr>
                <w:rFonts w:ascii="宋体" w:hAnsi="宋体" w:cs="宋体"/>
                <w:color w:val="auto"/>
                <w:sz w:val="21"/>
                <w:szCs w:val="21"/>
              </w:rPr>
              <w:t>华为</w:t>
            </w:r>
            <w:r>
              <w:rPr>
                <w:rFonts w:hint="eastAsia" w:ascii="宋体" w:hAnsi="宋体" w:cs="宋体"/>
                <w:color w:val="auto"/>
                <w:sz w:val="21"/>
                <w:szCs w:val="21"/>
              </w:rPr>
              <w:t>、新华三、锐捷</w:t>
            </w:r>
            <w:r>
              <w:rPr>
                <w:rFonts w:hint="eastAsia"/>
                <w:color w:val="auto"/>
                <w:sz w:val="21"/>
                <w:szCs w:val="21"/>
              </w:rPr>
              <w:t>或同等级以上档次品牌</w:t>
            </w:r>
          </w:p>
        </w:tc>
        <w:tc>
          <w:tcPr>
            <w:tcW w:w="4244" w:type="dxa"/>
            <w:vAlign w:val="center"/>
          </w:tcPr>
          <w:p w14:paraId="2075F411">
            <w:pPr>
              <w:widowControl/>
              <w:spacing w:line="400" w:lineRule="exact"/>
              <w:jc w:val="left"/>
              <w:rPr>
                <w:rFonts w:ascii="宋体" w:hAnsi="宋体"/>
                <w:color w:val="auto"/>
                <w:kern w:val="0"/>
                <w:sz w:val="21"/>
                <w:szCs w:val="21"/>
              </w:rPr>
            </w:pPr>
            <w:r>
              <w:rPr>
                <w:rFonts w:hint="eastAsia" w:ascii="宋体" w:hAnsi="宋体" w:cs="宋体"/>
                <w:color w:val="auto"/>
                <w:kern w:val="0"/>
                <w:sz w:val="21"/>
                <w:szCs w:val="21"/>
              </w:rPr>
              <w:t>★</w:t>
            </w:r>
            <w:r>
              <w:rPr>
                <w:rFonts w:hint="eastAsia" w:ascii="宋体" w:hAnsi="宋体"/>
                <w:color w:val="auto"/>
                <w:kern w:val="0"/>
                <w:sz w:val="21"/>
                <w:szCs w:val="21"/>
              </w:rPr>
              <w:t>原厂千兆单模光模块，要求与本次项目中第5-9项网络交换机100%匹配，接入到本次项目中的光纤交换机上无任何报警信息提示。</w:t>
            </w:r>
          </w:p>
        </w:tc>
        <w:tc>
          <w:tcPr>
            <w:tcW w:w="614" w:type="dxa"/>
            <w:vAlign w:val="center"/>
          </w:tcPr>
          <w:p w14:paraId="6820FFA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747" w:type="dxa"/>
            <w:vAlign w:val="center"/>
          </w:tcPr>
          <w:p w14:paraId="54FD5EF9">
            <w:pPr>
              <w:spacing w:line="400" w:lineRule="exact"/>
              <w:jc w:val="center"/>
              <w:rPr>
                <w:rFonts w:ascii="宋体" w:hAnsi="宋体" w:cs="宋体"/>
                <w:color w:val="auto"/>
                <w:sz w:val="21"/>
                <w:szCs w:val="21"/>
              </w:rPr>
            </w:pPr>
            <w:r>
              <w:rPr>
                <w:rFonts w:hint="eastAsia" w:ascii="宋体" w:hAnsi="宋体" w:cs="宋体"/>
                <w:color w:val="auto"/>
                <w:sz w:val="21"/>
                <w:szCs w:val="21"/>
              </w:rPr>
              <w:t>8</w:t>
            </w:r>
          </w:p>
        </w:tc>
        <w:tc>
          <w:tcPr>
            <w:tcW w:w="931" w:type="dxa"/>
            <w:vAlign w:val="center"/>
          </w:tcPr>
          <w:p w14:paraId="1731491B">
            <w:pPr>
              <w:spacing w:line="400" w:lineRule="exact"/>
              <w:jc w:val="center"/>
              <w:rPr>
                <w:rFonts w:ascii="宋体" w:hAnsi="宋体" w:cs="宋体"/>
                <w:color w:val="auto"/>
                <w:sz w:val="21"/>
                <w:szCs w:val="21"/>
              </w:rPr>
            </w:pPr>
            <w:r>
              <w:rPr>
                <w:rFonts w:hint="eastAsia" w:ascii="宋体" w:hAnsi="宋体" w:cs="宋体"/>
                <w:color w:val="auto"/>
                <w:sz w:val="21"/>
                <w:szCs w:val="21"/>
              </w:rPr>
              <w:t>500</w:t>
            </w:r>
          </w:p>
        </w:tc>
        <w:tc>
          <w:tcPr>
            <w:tcW w:w="931" w:type="dxa"/>
            <w:vAlign w:val="center"/>
          </w:tcPr>
          <w:p w14:paraId="58CE51B2">
            <w:pPr>
              <w:spacing w:line="400" w:lineRule="exact"/>
              <w:jc w:val="center"/>
              <w:rPr>
                <w:rFonts w:ascii="宋体" w:hAnsi="宋体" w:cs="宋体"/>
                <w:color w:val="auto"/>
                <w:sz w:val="21"/>
                <w:szCs w:val="21"/>
              </w:rPr>
            </w:pPr>
            <w:r>
              <w:rPr>
                <w:rFonts w:hint="eastAsia" w:ascii="宋体" w:hAnsi="宋体" w:cs="宋体"/>
                <w:color w:val="auto"/>
                <w:sz w:val="21"/>
                <w:szCs w:val="21"/>
              </w:rPr>
              <w:t>4000</w:t>
            </w:r>
          </w:p>
        </w:tc>
      </w:tr>
      <w:tr w14:paraId="374D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52E5199E">
            <w:pPr>
              <w:widowControl/>
              <w:spacing w:line="400" w:lineRule="exact"/>
              <w:jc w:val="center"/>
              <w:rPr>
                <w:color w:val="auto"/>
                <w:kern w:val="0"/>
                <w:sz w:val="21"/>
                <w:szCs w:val="21"/>
              </w:rPr>
            </w:pPr>
            <w:r>
              <w:rPr>
                <w:color w:val="auto"/>
                <w:kern w:val="0"/>
                <w:sz w:val="21"/>
                <w:szCs w:val="21"/>
              </w:rPr>
              <w:t>26</w:t>
            </w:r>
          </w:p>
        </w:tc>
        <w:tc>
          <w:tcPr>
            <w:tcW w:w="951" w:type="dxa"/>
            <w:gridSpan w:val="2"/>
            <w:vAlign w:val="center"/>
          </w:tcPr>
          <w:p w14:paraId="3A14AD52">
            <w:pPr>
              <w:widowControl/>
              <w:spacing w:line="400" w:lineRule="exact"/>
              <w:jc w:val="center"/>
              <w:rPr>
                <w:rFonts w:ascii="宋体" w:hAnsi="宋体"/>
                <w:color w:val="auto"/>
                <w:kern w:val="0"/>
                <w:sz w:val="21"/>
                <w:szCs w:val="21"/>
              </w:rPr>
            </w:pPr>
            <w:r>
              <w:rPr>
                <w:rFonts w:hint="eastAsia" w:ascii="宋体" w:hAnsi="宋体"/>
                <w:color w:val="auto"/>
                <w:kern w:val="0"/>
                <w:sz w:val="21"/>
                <w:szCs w:val="21"/>
              </w:rPr>
              <w:t>万兆单模光模块</w:t>
            </w:r>
          </w:p>
        </w:tc>
        <w:tc>
          <w:tcPr>
            <w:tcW w:w="1843" w:type="dxa"/>
            <w:vAlign w:val="center"/>
          </w:tcPr>
          <w:p w14:paraId="464A0458">
            <w:pPr>
              <w:widowControl/>
              <w:spacing w:line="400" w:lineRule="exact"/>
              <w:jc w:val="center"/>
              <w:rPr>
                <w:rFonts w:ascii="宋体" w:hAnsi="宋体"/>
                <w:color w:val="auto"/>
                <w:kern w:val="0"/>
                <w:sz w:val="21"/>
                <w:szCs w:val="21"/>
              </w:rPr>
            </w:pPr>
            <w:r>
              <w:rPr>
                <w:rFonts w:ascii="宋体" w:hAnsi="宋体" w:cs="宋体"/>
                <w:color w:val="auto"/>
                <w:sz w:val="21"/>
                <w:szCs w:val="21"/>
              </w:rPr>
              <w:t>华为</w:t>
            </w:r>
            <w:r>
              <w:rPr>
                <w:rFonts w:hint="eastAsia" w:ascii="宋体" w:hAnsi="宋体" w:cs="宋体"/>
                <w:color w:val="auto"/>
                <w:sz w:val="21"/>
                <w:szCs w:val="21"/>
              </w:rPr>
              <w:t>、新华三、锐捷</w:t>
            </w:r>
            <w:r>
              <w:rPr>
                <w:rFonts w:hint="eastAsia"/>
                <w:color w:val="auto"/>
                <w:sz w:val="21"/>
                <w:szCs w:val="21"/>
              </w:rPr>
              <w:t>或同等级以上档次品牌</w:t>
            </w:r>
          </w:p>
        </w:tc>
        <w:tc>
          <w:tcPr>
            <w:tcW w:w="4244" w:type="dxa"/>
            <w:vAlign w:val="center"/>
          </w:tcPr>
          <w:p w14:paraId="209590D8">
            <w:pPr>
              <w:widowControl/>
              <w:spacing w:line="400" w:lineRule="exact"/>
              <w:jc w:val="left"/>
              <w:rPr>
                <w:rFonts w:ascii="宋体" w:hAnsi="宋体"/>
                <w:color w:val="auto"/>
                <w:kern w:val="0"/>
                <w:sz w:val="21"/>
                <w:szCs w:val="21"/>
              </w:rPr>
            </w:pPr>
            <w:r>
              <w:rPr>
                <w:rFonts w:hint="eastAsia" w:ascii="宋体" w:hAnsi="宋体" w:cs="宋体"/>
                <w:color w:val="auto"/>
                <w:kern w:val="0"/>
                <w:sz w:val="21"/>
                <w:szCs w:val="21"/>
              </w:rPr>
              <w:t>★</w:t>
            </w:r>
            <w:r>
              <w:rPr>
                <w:rFonts w:hint="eastAsia" w:ascii="宋体" w:hAnsi="宋体"/>
                <w:color w:val="auto"/>
                <w:kern w:val="0"/>
                <w:sz w:val="21"/>
                <w:szCs w:val="21"/>
              </w:rPr>
              <w:t>原厂万兆单模光模块，要求与本次项目中第5-9项网络交换机100%匹配，接入到本次项目中的光纤交换机上无任何报警信息提示。</w:t>
            </w:r>
          </w:p>
        </w:tc>
        <w:tc>
          <w:tcPr>
            <w:tcW w:w="614" w:type="dxa"/>
            <w:vAlign w:val="center"/>
          </w:tcPr>
          <w:p w14:paraId="24E25F06">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747" w:type="dxa"/>
            <w:vAlign w:val="center"/>
          </w:tcPr>
          <w:p w14:paraId="1B6437A2">
            <w:pPr>
              <w:spacing w:line="400" w:lineRule="exact"/>
              <w:jc w:val="center"/>
              <w:rPr>
                <w:rFonts w:ascii="宋体" w:hAnsi="宋体" w:cs="宋体"/>
                <w:color w:val="auto"/>
                <w:sz w:val="21"/>
                <w:szCs w:val="21"/>
              </w:rPr>
            </w:pPr>
            <w:r>
              <w:rPr>
                <w:rFonts w:hint="eastAsia" w:ascii="宋体" w:hAnsi="宋体" w:cs="宋体"/>
                <w:color w:val="auto"/>
                <w:sz w:val="21"/>
                <w:szCs w:val="21"/>
              </w:rPr>
              <w:t>4</w:t>
            </w:r>
          </w:p>
        </w:tc>
        <w:tc>
          <w:tcPr>
            <w:tcW w:w="931" w:type="dxa"/>
            <w:vAlign w:val="center"/>
          </w:tcPr>
          <w:p w14:paraId="6EB6FC25">
            <w:pPr>
              <w:spacing w:line="400" w:lineRule="exact"/>
              <w:jc w:val="center"/>
              <w:rPr>
                <w:rFonts w:ascii="宋体" w:hAnsi="宋体" w:cs="宋体"/>
                <w:color w:val="auto"/>
                <w:sz w:val="21"/>
                <w:szCs w:val="21"/>
              </w:rPr>
            </w:pPr>
            <w:r>
              <w:rPr>
                <w:rFonts w:hint="eastAsia" w:ascii="宋体" w:hAnsi="宋体" w:cs="宋体"/>
                <w:color w:val="auto"/>
                <w:sz w:val="21"/>
                <w:szCs w:val="21"/>
              </w:rPr>
              <w:t>900</w:t>
            </w:r>
          </w:p>
        </w:tc>
        <w:tc>
          <w:tcPr>
            <w:tcW w:w="931" w:type="dxa"/>
            <w:vAlign w:val="center"/>
          </w:tcPr>
          <w:p w14:paraId="7CF3FD6A">
            <w:pPr>
              <w:spacing w:line="400" w:lineRule="exact"/>
              <w:jc w:val="center"/>
              <w:rPr>
                <w:rFonts w:ascii="宋体" w:hAnsi="宋体" w:cs="宋体"/>
                <w:color w:val="auto"/>
                <w:sz w:val="21"/>
                <w:szCs w:val="21"/>
              </w:rPr>
            </w:pPr>
            <w:r>
              <w:rPr>
                <w:rFonts w:hint="eastAsia" w:ascii="宋体" w:hAnsi="宋体" w:cs="宋体"/>
                <w:color w:val="auto"/>
                <w:sz w:val="21"/>
                <w:szCs w:val="21"/>
              </w:rPr>
              <w:t>3600</w:t>
            </w:r>
          </w:p>
        </w:tc>
      </w:tr>
      <w:tr w14:paraId="7F99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FC908A3">
            <w:pPr>
              <w:widowControl/>
              <w:spacing w:line="400" w:lineRule="exact"/>
              <w:jc w:val="center"/>
              <w:rPr>
                <w:color w:val="auto"/>
                <w:kern w:val="0"/>
                <w:sz w:val="21"/>
                <w:szCs w:val="21"/>
              </w:rPr>
            </w:pPr>
            <w:r>
              <w:rPr>
                <w:color w:val="auto"/>
                <w:kern w:val="0"/>
                <w:sz w:val="21"/>
                <w:szCs w:val="21"/>
              </w:rPr>
              <w:t>27</w:t>
            </w:r>
          </w:p>
        </w:tc>
        <w:tc>
          <w:tcPr>
            <w:tcW w:w="951" w:type="dxa"/>
            <w:gridSpan w:val="2"/>
            <w:vAlign w:val="center"/>
          </w:tcPr>
          <w:p w14:paraId="1E5D3C9E">
            <w:pPr>
              <w:widowControl/>
              <w:spacing w:line="400" w:lineRule="exact"/>
              <w:jc w:val="center"/>
              <w:rPr>
                <w:rFonts w:ascii="宋体" w:hAnsi="宋体"/>
                <w:color w:val="auto"/>
                <w:kern w:val="0"/>
                <w:sz w:val="21"/>
                <w:szCs w:val="21"/>
              </w:rPr>
            </w:pPr>
            <w:r>
              <w:rPr>
                <w:rFonts w:hint="eastAsia" w:ascii="宋体" w:hAnsi="宋体"/>
                <w:color w:val="auto"/>
                <w:kern w:val="0"/>
                <w:sz w:val="21"/>
                <w:szCs w:val="21"/>
              </w:rPr>
              <w:t>千兆多模光模块</w:t>
            </w:r>
          </w:p>
        </w:tc>
        <w:tc>
          <w:tcPr>
            <w:tcW w:w="1843" w:type="dxa"/>
            <w:vAlign w:val="center"/>
          </w:tcPr>
          <w:p w14:paraId="79EB4659">
            <w:pPr>
              <w:widowControl/>
              <w:spacing w:line="400" w:lineRule="exact"/>
              <w:jc w:val="center"/>
              <w:rPr>
                <w:rFonts w:ascii="宋体" w:hAnsi="宋体" w:cs="宋体"/>
                <w:color w:val="auto"/>
                <w:sz w:val="21"/>
                <w:szCs w:val="21"/>
              </w:rPr>
            </w:pPr>
            <w:r>
              <w:rPr>
                <w:rFonts w:ascii="宋体" w:hAnsi="宋体" w:cs="宋体"/>
                <w:color w:val="auto"/>
                <w:sz w:val="21"/>
                <w:szCs w:val="21"/>
              </w:rPr>
              <w:t>华为</w:t>
            </w:r>
            <w:r>
              <w:rPr>
                <w:rFonts w:hint="eastAsia" w:ascii="宋体" w:hAnsi="宋体" w:cs="宋体"/>
                <w:color w:val="auto"/>
                <w:sz w:val="21"/>
                <w:szCs w:val="21"/>
              </w:rPr>
              <w:t>、新华三、锐捷</w:t>
            </w:r>
            <w:r>
              <w:rPr>
                <w:rFonts w:hint="eastAsia"/>
                <w:color w:val="auto"/>
                <w:sz w:val="21"/>
                <w:szCs w:val="21"/>
              </w:rPr>
              <w:t>或同等级以上档次品牌</w:t>
            </w:r>
          </w:p>
        </w:tc>
        <w:tc>
          <w:tcPr>
            <w:tcW w:w="4244" w:type="dxa"/>
            <w:vAlign w:val="center"/>
          </w:tcPr>
          <w:p w14:paraId="51F6B313">
            <w:pPr>
              <w:widowControl/>
              <w:spacing w:line="400" w:lineRule="exact"/>
              <w:jc w:val="left"/>
              <w:rPr>
                <w:rFonts w:ascii="宋体" w:hAnsi="宋体"/>
                <w:color w:val="auto"/>
                <w:kern w:val="0"/>
                <w:sz w:val="21"/>
                <w:szCs w:val="21"/>
              </w:rPr>
            </w:pPr>
            <w:r>
              <w:rPr>
                <w:rFonts w:hint="eastAsia" w:ascii="宋体" w:hAnsi="宋体" w:cs="宋体"/>
                <w:color w:val="auto"/>
                <w:kern w:val="0"/>
                <w:sz w:val="21"/>
                <w:szCs w:val="21"/>
              </w:rPr>
              <w:t>★</w:t>
            </w:r>
            <w:r>
              <w:rPr>
                <w:rFonts w:hint="eastAsia" w:ascii="宋体" w:hAnsi="宋体"/>
                <w:color w:val="auto"/>
                <w:kern w:val="0"/>
                <w:sz w:val="21"/>
                <w:szCs w:val="21"/>
              </w:rPr>
              <w:t>原厂千兆多模光模块，要求与本次项目中第5-9项网络交换机100%匹配，接入到本次项目中的光纤交换机上无任何报警信息提示。</w:t>
            </w:r>
          </w:p>
        </w:tc>
        <w:tc>
          <w:tcPr>
            <w:tcW w:w="614" w:type="dxa"/>
            <w:vAlign w:val="center"/>
          </w:tcPr>
          <w:p w14:paraId="0040CBB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747" w:type="dxa"/>
            <w:vAlign w:val="center"/>
          </w:tcPr>
          <w:p w14:paraId="50D460A8">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7E8CEED0">
            <w:pPr>
              <w:spacing w:line="400" w:lineRule="exact"/>
              <w:jc w:val="center"/>
              <w:rPr>
                <w:rFonts w:ascii="宋体" w:hAnsi="宋体" w:cs="宋体"/>
                <w:color w:val="auto"/>
                <w:sz w:val="21"/>
                <w:szCs w:val="21"/>
              </w:rPr>
            </w:pPr>
            <w:r>
              <w:rPr>
                <w:rFonts w:hint="eastAsia" w:ascii="宋体" w:hAnsi="宋体" w:cs="宋体"/>
                <w:color w:val="auto"/>
                <w:sz w:val="21"/>
                <w:szCs w:val="21"/>
              </w:rPr>
              <w:t>550</w:t>
            </w:r>
          </w:p>
        </w:tc>
        <w:tc>
          <w:tcPr>
            <w:tcW w:w="931" w:type="dxa"/>
            <w:vAlign w:val="center"/>
          </w:tcPr>
          <w:p w14:paraId="7FB28B5C">
            <w:pPr>
              <w:spacing w:line="400" w:lineRule="exact"/>
              <w:jc w:val="center"/>
              <w:rPr>
                <w:rFonts w:ascii="宋体" w:hAnsi="宋体" w:cs="宋体"/>
                <w:color w:val="auto"/>
                <w:sz w:val="21"/>
                <w:szCs w:val="21"/>
              </w:rPr>
            </w:pPr>
            <w:r>
              <w:rPr>
                <w:rFonts w:hint="eastAsia" w:ascii="宋体" w:hAnsi="宋体" w:cs="宋体"/>
                <w:color w:val="auto"/>
                <w:sz w:val="21"/>
                <w:szCs w:val="21"/>
              </w:rPr>
              <w:t>550</w:t>
            </w:r>
          </w:p>
        </w:tc>
      </w:tr>
      <w:tr w14:paraId="15E9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3819688">
            <w:pPr>
              <w:widowControl/>
              <w:spacing w:line="400" w:lineRule="exact"/>
              <w:jc w:val="center"/>
              <w:rPr>
                <w:color w:val="auto"/>
                <w:kern w:val="0"/>
                <w:sz w:val="21"/>
                <w:szCs w:val="21"/>
              </w:rPr>
            </w:pPr>
            <w:r>
              <w:rPr>
                <w:color w:val="auto"/>
                <w:kern w:val="0"/>
                <w:sz w:val="21"/>
                <w:szCs w:val="21"/>
              </w:rPr>
              <w:t>28</w:t>
            </w:r>
          </w:p>
        </w:tc>
        <w:tc>
          <w:tcPr>
            <w:tcW w:w="951" w:type="dxa"/>
            <w:gridSpan w:val="2"/>
            <w:vAlign w:val="center"/>
          </w:tcPr>
          <w:p w14:paraId="0D78B7C0">
            <w:pPr>
              <w:widowControl/>
              <w:spacing w:line="400" w:lineRule="exact"/>
              <w:jc w:val="center"/>
              <w:rPr>
                <w:rFonts w:ascii="宋体" w:hAnsi="宋体"/>
                <w:color w:val="auto"/>
                <w:kern w:val="0"/>
                <w:sz w:val="21"/>
                <w:szCs w:val="21"/>
              </w:rPr>
            </w:pPr>
            <w:r>
              <w:rPr>
                <w:rFonts w:hint="eastAsia" w:ascii="宋体" w:hAnsi="宋体"/>
                <w:color w:val="auto"/>
                <w:kern w:val="0"/>
                <w:sz w:val="21"/>
                <w:szCs w:val="21"/>
              </w:rPr>
              <w:t>万兆多模光模块</w:t>
            </w:r>
          </w:p>
        </w:tc>
        <w:tc>
          <w:tcPr>
            <w:tcW w:w="1843" w:type="dxa"/>
            <w:vAlign w:val="center"/>
          </w:tcPr>
          <w:p w14:paraId="6B2DFA25">
            <w:pPr>
              <w:widowControl/>
              <w:spacing w:line="400" w:lineRule="exact"/>
              <w:jc w:val="center"/>
              <w:rPr>
                <w:rFonts w:ascii="宋体" w:hAnsi="宋体"/>
                <w:color w:val="auto"/>
                <w:kern w:val="0"/>
                <w:sz w:val="21"/>
                <w:szCs w:val="21"/>
              </w:rPr>
            </w:pPr>
            <w:r>
              <w:rPr>
                <w:rFonts w:ascii="宋体" w:hAnsi="宋体" w:cs="宋体"/>
                <w:color w:val="auto"/>
                <w:sz w:val="21"/>
                <w:szCs w:val="21"/>
              </w:rPr>
              <w:t>华为</w:t>
            </w:r>
            <w:r>
              <w:rPr>
                <w:rFonts w:hint="eastAsia" w:ascii="宋体" w:hAnsi="宋体" w:cs="宋体"/>
                <w:color w:val="auto"/>
                <w:sz w:val="21"/>
                <w:szCs w:val="21"/>
              </w:rPr>
              <w:t>、新华三、锐捷</w:t>
            </w:r>
            <w:r>
              <w:rPr>
                <w:rFonts w:hint="eastAsia"/>
                <w:color w:val="auto"/>
                <w:sz w:val="21"/>
                <w:szCs w:val="21"/>
              </w:rPr>
              <w:t>或同等级以上档次品牌</w:t>
            </w:r>
          </w:p>
        </w:tc>
        <w:tc>
          <w:tcPr>
            <w:tcW w:w="4244" w:type="dxa"/>
            <w:vAlign w:val="center"/>
          </w:tcPr>
          <w:p w14:paraId="5DE23C86">
            <w:pPr>
              <w:widowControl/>
              <w:spacing w:line="400" w:lineRule="exact"/>
              <w:jc w:val="left"/>
              <w:rPr>
                <w:rFonts w:ascii="宋体" w:hAnsi="宋体"/>
                <w:color w:val="auto"/>
                <w:kern w:val="0"/>
                <w:sz w:val="21"/>
                <w:szCs w:val="21"/>
              </w:rPr>
            </w:pPr>
            <w:r>
              <w:rPr>
                <w:rFonts w:hint="eastAsia" w:ascii="宋体" w:hAnsi="宋体" w:cs="宋体"/>
                <w:color w:val="auto"/>
                <w:kern w:val="0"/>
                <w:sz w:val="21"/>
                <w:szCs w:val="21"/>
              </w:rPr>
              <w:t>★</w:t>
            </w:r>
            <w:r>
              <w:rPr>
                <w:rFonts w:hint="eastAsia" w:ascii="宋体" w:hAnsi="宋体"/>
                <w:color w:val="auto"/>
                <w:kern w:val="0"/>
                <w:sz w:val="21"/>
                <w:szCs w:val="21"/>
              </w:rPr>
              <w:t>原厂万兆多模光模块，要求与本次项目中第5-9项网络交换机100%匹配，接入到本次项目中的光纤交换机上无任何报警信息提示。</w:t>
            </w:r>
          </w:p>
        </w:tc>
        <w:tc>
          <w:tcPr>
            <w:tcW w:w="614" w:type="dxa"/>
            <w:vAlign w:val="center"/>
          </w:tcPr>
          <w:p w14:paraId="4B38CDD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块</w:t>
            </w:r>
          </w:p>
        </w:tc>
        <w:tc>
          <w:tcPr>
            <w:tcW w:w="747" w:type="dxa"/>
            <w:vAlign w:val="center"/>
          </w:tcPr>
          <w:p w14:paraId="5D3DF09F">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931" w:type="dxa"/>
            <w:vAlign w:val="center"/>
          </w:tcPr>
          <w:p w14:paraId="2C44E818">
            <w:pPr>
              <w:spacing w:line="400" w:lineRule="exact"/>
              <w:jc w:val="center"/>
              <w:rPr>
                <w:rFonts w:ascii="宋体" w:hAnsi="宋体" w:cs="宋体"/>
                <w:color w:val="auto"/>
                <w:sz w:val="21"/>
                <w:szCs w:val="21"/>
              </w:rPr>
            </w:pPr>
            <w:r>
              <w:rPr>
                <w:rFonts w:hint="eastAsia" w:ascii="宋体" w:hAnsi="宋体" w:cs="宋体"/>
                <w:color w:val="auto"/>
                <w:sz w:val="21"/>
                <w:szCs w:val="21"/>
              </w:rPr>
              <w:t>800</w:t>
            </w:r>
          </w:p>
        </w:tc>
        <w:tc>
          <w:tcPr>
            <w:tcW w:w="931" w:type="dxa"/>
            <w:vAlign w:val="center"/>
          </w:tcPr>
          <w:p w14:paraId="6A889C82">
            <w:pPr>
              <w:spacing w:line="400" w:lineRule="exact"/>
              <w:jc w:val="center"/>
              <w:rPr>
                <w:rFonts w:ascii="宋体" w:hAnsi="宋体" w:cs="宋体"/>
                <w:color w:val="auto"/>
                <w:sz w:val="21"/>
                <w:szCs w:val="21"/>
              </w:rPr>
            </w:pPr>
            <w:r>
              <w:rPr>
                <w:rFonts w:hint="eastAsia" w:ascii="宋体" w:hAnsi="宋体" w:cs="宋体"/>
                <w:color w:val="auto"/>
                <w:sz w:val="21"/>
                <w:szCs w:val="21"/>
              </w:rPr>
              <w:t>800</w:t>
            </w:r>
          </w:p>
        </w:tc>
      </w:tr>
      <w:tr w14:paraId="6E47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2C4FBBFF">
            <w:pPr>
              <w:widowControl/>
              <w:spacing w:line="400" w:lineRule="exact"/>
              <w:jc w:val="center"/>
              <w:rPr>
                <w:color w:val="auto"/>
                <w:kern w:val="0"/>
                <w:sz w:val="21"/>
                <w:szCs w:val="21"/>
              </w:rPr>
            </w:pPr>
            <w:r>
              <w:rPr>
                <w:color w:val="auto"/>
                <w:kern w:val="0"/>
                <w:sz w:val="21"/>
                <w:szCs w:val="21"/>
              </w:rPr>
              <w:t>29</w:t>
            </w:r>
          </w:p>
        </w:tc>
        <w:tc>
          <w:tcPr>
            <w:tcW w:w="951" w:type="dxa"/>
            <w:gridSpan w:val="2"/>
            <w:vAlign w:val="center"/>
          </w:tcPr>
          <w:p w14:paraId="09EBF716">
            <w:pPr>
              <w:widowControl/>
              <w:spacing w:line="400" w:lineRule="exact"/>
              <w:jc w:val="center"/>
              <w:rPr>
                <w:rFonts w:ascii="宋体" w:hAnsi="宋体" w:cs="宋体"/>
                <w:color w:val="auto"/>
                <w:sz w:val="21"/>
                <w:szCs w:val="21"/>
              </w:rPr>
            </w:pPr>
            <w:r>
              <w:rPr>
                <w:rFonts w:ascii="宋体" w:hAnsi="宋体" w:cs="宋体"/>
                <w:color w:val="auto"/>
                <w:sz w:val="21"/>
                <w:szCs w:val="21"/>
              </w:rPr>
              <w:t>光纤熔接</w:t>
            </w:r>
            <w:r>
              <w:rPr>
                <w:rFonts w:hint="eastAsia" w:ascii="宋体" w:hAnsi="宋体" w:cs="宋体"/>
                <w:color w:val="auto"/>
                <w:sz w:val="21"/>
                <w:szCs w:val="21"/>
              </w:rPr>
              <w:t>服务</w:t>
            </w:r>
          </w:p>
        </w:tc>
        <w:tc>
          <w:tcPr>
            <w:tcW w:w="1843" w:type="dxa"/>
            <w:vAlign w:val="center"/>
          </w:tcPr>
          <w:p w14:paraId="3C72CB7A">
            <w:pPr>
              <w:widowControl/>
              <w:spacing w:line="400" w:lineRule="exact"/>
              <w:jc w:val="center"/>
              <w:rPr>
                <w:rFonts w:ascii="宋体" w:hAnsi="宋体" w:cs="宋体"/>
                <w:color w:val="auto"/>
                <w:sz w:val="21"/>
                <w:szCs w:val="21"/>
              </w:rPr>
            </w:pPr>
            <w:r>
              <w:rPr>
                <w:rFonts w:ascii="宋体" w:hAnsi="宋体" w:cs="宋体"/>
                <w:color w:val="auto"/>
                <w:sz w:val="21"/>
                <w:szCs w:val="21"/>
              </w:rPr>
              <w:t>定制</w:t>
            </w:r>
          </w:p>
        </w:tc>
        <w:tc>
          <w:tcPr>
            <w:tcW w:w="4244" w:type="dxa"/>
            <w:vAlign w:val="center"/>
          </w:tcPr>
          <w:p w14:paraId="1AF4E1E9">
            <w:pPr>
              <w:widowControl/>
              <w:spacing w:line="400" w:lineRule="exact"/>
              <w:jc w:val="left"/>
              <w:rPr>
                <w:rFonts w:ascii="宋体" w:hAnsi="宋体" w:cs="宋体"/>
                <w:color w:val="auto"/>
                <w:sz w:val="21"/>
                <w:szCs w:val="21"/>
              </w:rPr>
            </w:pPr>
            <w:r>
              <w:rPr>
                <w:rFonts w:hint="eastAsia" w:ascii="宋体" w:hAnsi="宋体" w:cs="宋体"/>
                <w:color w:val="auto"/>
                <w:kern w:val="0"/>
                <w:sz w:val="21"/>
                <w:szCs w:val="21"/>
              </w:rPr>
              <w:t>★</w:t>
            </w:r>
            <w:r>
              <w:rPr>
                <w:rFonts w:hint="eastAsia" w:ascii="宋体" w:hAnsi="宋体" w:cs="宋体"/>
                <w:color w:val="auto"/>
                <w:sz w:val="21"/>
                <w:szCs w:val="21"/>
              </w:rPr>
              <w:t>光纤熔接、含测试、定制标示和报告定制服务，提供优化解决方案。</w:t>
            </w:r>
          </w:p>
        </w:tc>
        <w:tc>
          <w:tcPr>
            <w:tcW w:w="614" w:type="dxa"/>
            <w:vAlign w:val="center"/>
          </w:tcPr>
          <w:p w14:paraId="3F8B7246">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芯</w:t>
            </w:r>
          </w:p>
        </w:tc>
        <w:tc>
          <w:tcPr>
            <w:tcW w:w="747" w:type="dxa"/>
            <w:vAlign w:val="center"/>
          </w:tcPr>
          <w:p w14:paraId="63ABBDF8">
            <w:pPr>
              <w:spacing w:line="400" w:lineRule="exact"/>
              <w:jc w:val="center"/>
              <w:rPr>
                <w:rFonts w:ascii="宋体" w:hAnsi="宋体" w:cs="宋体"/>
                <w:color w:val="auto"/>
                <w:sz w:val="21"/>
                <w:szCs w:val="21"/>
              </w:rPr>
            </w:pPr>
            <w:r>
              <w:rPr>
                <w:rFonts w:hint="eastAsia" w:ascii="宋体" w:hAnsi="宋体" w:cs="宋体"/>
                <w:color w:val="auto"/>
                <w:sz w:val="21"/>
                <w:szCs w:val="21"/>
              </w:rPr>
              <w:t>144</w:t>
            </w:r>
          </w:p>
        </w:tc>
        <w:tc>
          <w:tcPr>
            <w:tcW w:w="931" w:type="dxa"/>
            <w:vAlign w:val="center"/>
          </w:tcPr>
          <w:p w14:paraId="4EA3CB6E">
            <w:pPr>
              <w:spacing w:line="400" w:lineRule="exact"/>
              <w:jc w:val="center"/>
              <w:rPr>
                <w:rFonts w:ascii="宋体" w:hAnsi="宋体" w:cs="宋体"/>
                <w:color w:val="auto"/>
                <w:sz w:val="21"/>
                <w:szCs w:val="21"/>
              </w:rPr>
            </w:pPr>
            <w:r>
              <w:rPr>
                <w:rFonts w:hint="eastAsia" w:ascii="宋体" w:hAnsi="宋体" w:cs="宋体"/>
                <w:color w:val="auto"/>
                <w:sz w:val="21"/>
                <w:szCs w:val="21"/>
              </w:rPr>
              <w:t>35</w:t>
            </w:r>
          </w:p>
        </w:tc>
        <w:tc>
          <w:tcPr>
            <w:tcW w:w="931" w:type="dxa"/>
            <w:vAlign w:val="center"/>
          </w:tcPr>
          <w:p w14:paraId="7CC009DB">
            <w:pPr>
              <w:spacing w:line="400" w:lineRule="exact"/>
              <w:jc w:val="center"/>
              <w:rPr>
                <w:rFonts w:ascii="宋体" w:hAnsi="宋体" w:cs="宋体"/>
                <w:color w:val="auto"/>
                <w:sz w:val="21"/>
                <w:szCs w:val="21"/>
              </w:rPr>
            </w:pPr>
            <w:r>
              <w:rPr>
                <w:rFonts w:hint="eastAsia" w:ascii="宋体" w:hAnsi="宋体" w:cs="宋体"/>
                <w:color w:val="auto"/>
                <w:sz w:val="21"/>
                <w:szCs w:val="21"/>
              </w:rPr>
              <w:t>5040</w:t>
            </w:r>
          </w:p>
        </w:tc>
      </w:tr>
      <w:tr w14:paraId="2FA9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9CAD6CB">
            <w:pPr>
              <w:widowControl/>
              <w:spacing w:line="400" w:lineRule="exact"/>
              <w:jc w:val="center"/>
              <w:rPr>
                <w:color w:val="auto"/>
                <w:kern w:val="0"/>
                <w:sz w:val="21"/>
                <w:szCs w:val="21"/>
              </w:rPr>
            </w:pPr>
            <w:r>
              <w:rPr>
                <w:color w:val="auto"/>
                <w:kern w:val="0"/>
                <w:sz w:val="21"/>
                <w:szCs w:val="21"/>
              </w:rPr>
              <w:t>30</w:t>
            </w:r>
          </w:p>
        </w:tc>
        <w:tc>
          <w:tcPr>
            <w:tcW w:w="951" w:type="dxa"/>
            <w:gridSpan w:val="2"/>
            <w:vAlign w:val="center"/>
          </w:tcPr>
          <w:p w14:paraId="359F0E13">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PVC线管</w:t>
            </w:r>
          </w:p>
        </w:tc>
        <w:tc>
          <w:tcPr>
            <w:tcW w:w="1843" w:type="dxa"/>
            <w:vAlign w:val="center"/>
          </w:tcPr>
          <w:p w14:paraId="31EBD10F">
            <w:pPr>
              <w:spacing w:line="400" w:lineRule="exact"/>
              <w:jc w:val="center"/>
              <w:rPr>
                <w:rFonts w:ascii="宋体" w:hAnsi="宋体"/>
                <w:color w:val="auto"/>
                <w:sz w:val="21"/>
                <w:szCs w:val="21"/>
              </w:rPr>
            </w:pPr>
            <w:r>
              <w:rPr>
                <w:rFonts w:hint="eastAsia" w:ascii="宋体" w:hAnsi="宋体" w:cs="宋体"/>
                <w:color w:val="auto"/>
                <w:kern w:val="0"/>
                <w:sz w:val="21"/>
                <w:szCs w:val="21"/>
              </w:rPr>
              <w:t>国标</w:t>
            </w:r>
          </w:p>
        </w:tc>
        <w:tc>
          <w:tcPr>
            <w:tcW w:w="4244" w:type="dxa"/>
            <w:vAlign w:val="center"/>
          </w:tcPr>
          <w:p w14:paraId="3EC00457">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20型</w:t>
            </w:r>
          </w:p>
        </w:tc>
        <w:tc>
          <w:tcPr>
            <w:tcW w:w="614" w:type="dxa"/>
            <w:vAlign w:val="center"/>
          </w:tcPr>
          <w:p w14:paraId="677359E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747" w:type="dxa"/>
            <w:vAlign w:val="center"/>
          </w:tcPr>
          <w:p w14:paraId="4F4D5DD1">
            <w:pPr>
              <w:spacing w:line="400" w:lineRule="exact"/>
              <w:jc w:val="center"/>
              <w:rPr>
                <w:rFonts w:ascii="宋体" w:hAnsi="宋体" w:cs="宋体"/>
                <w:color w:val="auto"/>
                <w:sz w:val="21"/>
                <w:szCs w:val="21"/>
              </w:rPr>
            </w:pPr>
            <w:r>
              <w:rPr>
                <w:rFonts w:hint="eastAsia" w:ascii="宋体" w:hAnsi="宋体" w:cs="宋体"/>
                <w:color w:val="auto"/>
                <w:sz w:val="21"/>
                <w:szCs w:val="21"/>
              </w:rPr>
              <w:t>44</w:t>
            </w:r>
          </w:p>
        </w:tc>
        <w:tc>
          <w:tcPr>
            <w:tcW w:w="931" w:type="dxa"/>
            <w:vAlign w:val="center"/>
          </w:tcPr>
          <w:p w14:paraId="661505C6">
            <w:pPr>
              <w:spacing w:line="400" w:lineRule="exact"/>
              <w:jc w:val="center"/>
              <w:rPr>
                <w:rFonts w:ascii="宋体" w:hAnsi="宋体" w:cs="宋体"/>
                <w:color w:val="auto"/>
                <w:sz w:val="21"/>
                <w:szCs w:val="21"/>
              </w:rPr>
            </w:pPr>
            <w:r>
              <w:rPr>
                <w:rFonts w:hint="eastAsia" w:ascii="宋体" w:hAnsi="宋体" w:cs="宋体"/>
                <w:color w:val="auto"/>
                <w:sz w:val="21"/>
                <w:szCs w:val="21"/>
              </w:rPr>
              <w:t>4</w:t>
            </w:r>
          </w:p>
        </w:tc>
        <w:tc>
          <w:tcPr>
            <w:tcW w:w="931" w:type="dxa"/>
            <w:vAlign w:val="center"/>
          </w:tcPr>
          <w:p w14:paraId="4F8B5784">
            <w:pPr>
              <w:spacing w:line="400" w:lineRule="exact"/>
              <w:jc w:val="center"/>
              <w:rPr>
                <w:rFonts w:ascii="宋体" w:hAnsi="宋体" w:cs="宋体"/>
                <w:color w:val="auto"/>
                <w:sz w:val="21"/>
                <w:szCs w:val="21"/>
              </w:rPr>
            </w:pPr>
            <w:r>
              <w:rPr>
                <w:rFonts w:hint="eastAsia" w:ascii="宋体" w:hAnsi="宋体" w:cs="宋体"/>
                <w:color w:val="auto"/>
                <w:sz w:val="21"/>
                <w:szCs w:val="21"/>
              </w:rPr>
              <w:t>176</w:t>
            </w:r>
          </w:p>
        </w:tc>
      </w:tr>
      <w:tr w14:paraId="2020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0E064176">
            <w:pPr>
              <w:widowControl/>
              <w:spacing w:line="400" w:lineRule="exact"/>
              <w:jc w:val="center"/>
              <w:rPr>
                <w:color w:val="auto"/>
                <w:kern w:val="0"/>
                <w:sz w:val="21"/>
                <w:szCs w:val="21"/>
              </w:rPr>
            </w:pPr>
            <w:r>
              <w:rPr>
                <w:rFonts w:hint="eastAsia"/>
                <w:color w:val="auto"/>
                <w:kern w:val="0"/>
                <w:sz w:val="21"/>
                <w:szCs w:val="21"/>
              </w:rPr>
              <w:t>31</w:t>
            </w:r>
          </w:p>
        </w:tc>
        <w:tc>
          <w:tcPr>
            <w:tcW w:w="951" w:type="dxa"/>
            <w:gridSpan w:val="2"/>
            <w:vAlign w:val="center"/>
          </w:tcPr>
          <w:p w14:paraId="2109F77A">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六类非屏蔽水晶头</w:t>
            </w:r>
          </w:p>
        </w:tc>
        <w:tc>
          <w:tcPr>
            <w:tcW w:w="1843" w:type="dxa"/>
            <w:vAlign w:val="center"/>
          </w:tcPr>
          <w:p w14:paraId="1667D239">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罗格朗</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德特威勒</w:t>
            </w:r>
            <w:r>
              <w:rPr>
                <w:rStyle w:val="19"/>
                <w:rFonts w:hint="eastAsia"/>
                <w:color w:val="auto"/>
                <w:sz w:val="21"/>
                <w:szCs w:val="21"/>
                <w:lang w:eastAsia="zh-CN"/>
              </w:rPr>
              <w:t>、一舟</w:t>
            </w:r>
            <w:r>
              <w:rPr>
                <w:rFonts w:hint="eastAsia"/>
                <w:color w:val="auto"/>
                <w:sz w:val="21"/>
                <w:szCs w:val="21"/>
              </w:rPr>
              <w:t>或同等级以上档次品牌</w:t>
            </w:r>
          </w:p>
        </w:tc>
        <w:tc>
          <w:tcPr>
            <w:tcW w:w="4244" w:type="dxa"/>
            <w:vAlign w:val="center"/>
          </w:tcPr>
          <w:p w14:paraId="27F89273">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六类非屏蔽水晶头</w:t>
            </w:r>
          </w:p>
        </w:tc>
        <w:tc>
          <w:tcPr>
            <w:tcW w:w="614" w:type="dxa"/>
            <w:vAlign w:val="center"/>
          </w:tcPr>
          <w:p w14:paraId="06171308">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w:t>
            </w:r>
          </w:p>
        </w:tc>
        <w:tc>
          <w:tcPr>
            <w:tcW w:w="747" w:type="dxa"/>
            <w:vAlign w:val="center"/>
          </w:tcPr>
          <w:p w14:paraId="3E41D7CC">
            <w:pPr>
              <w:spacing w:line="400" w:lineRule="exact"/>
              <w:jc w:val="center"/>
              <w:rPr>
                <w:rFonts w:ascii="宋体" w:hAnsi="宋体" w:cs="宋体"/>
                <w:color w:val="auto"/>
                <w:sz w:val="21"/>
                <w:szCs w:val="21"/>
              </w:rPr>
            </w:pPr>
            <w:r>
              <w:rPr>
                <w:rFonts w:hint="eastAsia" w:ascii="宋体" w:hAnsi="宋体" w:cs="宋体"/>
                <w:color w:val="auto"/>
                <w:sz w:val="21"/>
                <w:szCs w:val="21"/>
              </w:rPr>
              <w:t>1434</w:t>
            </w:r>
          </w:p>
        </w:tc>
        <w:tc>
          <w:tcPr>
            <w:tcW w:w="931" w:type="dxa"/>
            <w:vAlign w:val="center"/>
          </w:tcPr>
          <w:p w14:paraId="7F00884B">
            <w:pPr>
              <w:spacing w:line="400" w:lineRule="exact"/>
              <w:jc w:val="center"/>
              <w:rPr>
                <w:rFonts w:ascii="宋体" w:hAnsi="宋体" w:cs="宋体"/>
                <w:color w:val="auto"/>
                <w:sz w:val="21"/>
                <w:szCs w:val="21"/>
              </w:rPr>
            </w:pPr>
            <w:r>
              <w:rPr>
                <w:rFonts w:hint="eastAsia" w:ascii="宋体" w:hAnsi="宋体" w:cs="宋体"/>
                <w:color w:val="auto"/>
                <w:sz w:val="21"/>
                <w:szCs w:val="21"/>
              </w:rPr>
              <w:t>3</w:t>
            </w:r>
          </w:p>
        </w:tc>
        <w:tc>
          <w:tcPr>
            <w:tcW w:w="931" w:type="dxa"/>
            <w:vAlign w:val="center"/>
          </w:tcPr>
          <w:p w14:paraId="5279A79F">
            <w:pPr>
              <w:spacing w:line="400" w:lineRule="exact"/>
              <w:jc w:val="center"/>
              <w:rPr>
                <w:rFonts w:ascii="宋体" w:hAnsi="宋体" w:cs="宋体"/>
                <w:color w:val="auto"/>
                <w:sz w:val="21"/>
                <w:szCs w:val="21"/>
              </w:rPr>
            </w:pPr>
            <w:r>
              <w:rPr>
                <w:rFonts w:hint="eastAsia" w:ascii="宋体" w:hAnsi="宋体" w:cs="宋体"/>
                <w:color w:val="auto"/>
                <w:sz w:val="21"/>
                <w:szCs w:val="21"/>
              </w:rPr>
              <w:t>4302</w:t>
            </w:r>
          </w:p>
        </w:tc>
      </w:tr>
      <w:tr w14:paraId="390F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14445A00">
            <w:pPr>
              <w:widowControl/>
              <w:spacing w:line="400" w:lineRule="exact"/>
              <w:jc w:val="center"/>
              <w:rPr>
                <w:color w:val="auto"/>
                <w:kern w:val="0"/>
                <w:sz w:val="21"/>
                <w:szCs w:val="21"/>
              </w:rPr>
            </w:pPr>
            <w:r>
              <w:rPr>
                <w:rFonts w:hint="eastAsia"/>
                <w:color w:val="auto"/>
                <w:kern w:val="0"/>
                <w:sz w:val="21"/>
                <w:szCs w:val="21"/>
              </w:rPr>
              <w:t>32</w:t>
            </w:r>
          </w:p>
        </w:tc>
        <w:tc>
          <w:tcPr>
            <w:tcW w:w="951" w:type="dxa"/>
            <w:gridSpan w:val="2"/>
            <w:vAlign w:val="center"/>
          </w:tcPr>
          <w:p w14:paraId="1D3D64BB">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光纤敷设服务</w:t>
            </w:r>
          </w:p>
        </w:tc>
        <w:tc>
          <w:tcPr>
            <w:tcW w:w="1843" w:type="dxa"/>
            <w:vAlign w:val="center"/>
          </w:tcPr>
          <w:p w14:paraId="574E0C4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定制</w:t>
            </w:r>
          </w:p>
        </w:tc>
        <w:tc>
          <w:tcPr>
            <w:tcW w:w="4244" w:type="dxa"/>
            <w:vAlign w:val="center"/>
          </w:tcPr>
          <w:p w14:paraId="683A28C1">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1、线缆的布放应自然平直，不得产生扭绞、打圈接头等现象，不应受到外力的挤压和损伤。</w:t>
            </w:r>
          </w:p>
          <w:p w14:paraId="1A3A64F5">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2、线缆两端应贴有标签，应标明编号，标签书写应清晰、端正和正确。</w:t>
            </w:r>
          </w:p>
        </w:tc>
        <w:tc>
          <w:tcPr>
            <w:tcW w:w="614" w:type="dxa"/>
            <w:vAlign w:val="center"/>
          </w:tcPr>
          <w:p w14:paraId="4D3FD39C">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米</w:t>
            </w:r>
          </w:p>
        </w:tc>
        <w:tc>
          <w:tcPr>
            <w:tcW w:w="747" w:type="dxa"/>
            <w:vAlign w:val="center"/>
          </w:tcPr>
          <w:p w14:paraId="24A5E1E3">
            <w:pPr>
              <w:spacing w:line="400" w:lineRule="exact"/>
              <w:jc w:val="center"/>
              <w:rPr>
                <w:rFonts w:ascii="宋体" w:hAnsi="宋体" w:cs="宋体"/>
                <w:color w:val="auto"/>
                <w:sz w:val="21"/>
                <w:szCs w:val="21"/>
              </w:rPr>
            </w:pPr>
            <w:r>
              <w:rPr>
                <w:rFonts w:hint="eastAsia" w:ascii="宋体" w:hAnsi="宋体" w:cs="宋体"/>
                <w:color w:val="auto"/>
                <w:sz w:val="21"/>
                <w:szCs w:val="21"/>
              </w:rPr>
              <w:t>460</w:t>
            </w:r>
          </w:p>
        </w:tc>
        <w:tc>
          <w:tcPr>
            <w:tcW w:w="931" w:type="dxa"/>
            <w:vAlign w:val="center"/>
          </w:tcPr>
          <w:p w14:paraId="0AD78F9E">
            <w:pPr>
              <w:spacing w:line="400" w:lineRule="exact"/>
              <w:jc w:val="center"/>
              <w:rPr>
                <w:rFonts w:ascii="宋体" w:hAnsi="宋体" w:cs="宋体"/>
                <w:color w:val="auto"/>
                <w:sz w:val="21"/>
                <w:szCs w:val="21"/>
              </w:rPr>
            </w:pPr>
            <w:r>
              <w:rPr>
                <w:rFonts w:hint="eastAsia" w:ascii="宋体" w:hAnsi="宋体" w:cs="宋体"/>
                <w:color w:val="auto"/>
                <w:sz w:val="21"/>
                <w:szCs w:val="21"/>
              </w:rPr>
              <w:t>6</w:t>
            </w:r>
          </w:p>
        </w:tc>
        <w:tc>
          <w:tcPr>
            <w:tcW w:w="931" w:type="dxa"/>
            <w:vAlign w:val="center"/>
          </w:tcPr>
          <w:p w14:paraId="0AAD6530">
            <w:pPr>
              <w:spacing w:line="400" w:lineRule="exact"/>
              <w:jc w:val="center"/>
              <w:rPr>
                <w:rFonts w:ascii="宋体" w:hAnsi="宋体" w:cs="宋体"/>
                <w:color w:val="auto"/>
                <w:sz w:val="21"/>
                <w:szCs w:val="21"/>
              </w:rPr>
            </w:pPr>
            <w:r>
              <w:rPr>
                <w:rFonts w:hint="eastAsia" w:ascii="宋体" w:hAnsi="宋体" w:cs="宋体"/>
                <w:color w:val="auto"/>
                <w:sz w:val="21"/>
                <w:szCs w:val="21"/>
              </w:rPr>
              <w:t>2760</w:t>
            </w:r>
          </w:p>
        </w:tc>
      </w:tr>
      <w:tr w14:paraId="174E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2481547E">
            <w:pPr>
              <w:widowControl/>
              <w:spacing w:line="400" w:lineRule="exact"/>
              <w:jc w:val="center"/>
              <w:rPr>
                <w:color w:val="auto"/>
                <w:kern w:val="0"/>
                <w:sz w:val="21"/>
                <w:szCs w:val="21"/>
              </w:rPr>
            </w:pPr>
            <w:r>
              <w:rPr>
                <w:rFonts w:hint="eastAsia"/>
                <w:color w:val="auto"/>
                <w:kern w:val="0"/>
                <w:sz w:val="21"/>
                <w:szCs w:val="21"/>
              </w:rPr>
              <w:t>33</w:t>
            </w:r>
          </w:p>
        </w:tc>
        <w:tc>
          <w:tcPr>
            <w:tcW w:w="951" w:type="dxa"/>
            <w:gridSpan w:val="2"/>
            <w:vAlign w:val="center"/>
          </w:tcPr>
          <w:p w14:paraId="10933DD1">
            <w:pPr>
              <w:widowControl/>
              <w:spacing w:line="40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网络布线施工</w:t>
            </w:r>
            <w:r>
              <w:rPr>
                <w:rFonts w:hint="eastAsia" w:ascii="宋体" w:hAnsi="宋体" w:cs="宋体"/>
                <w:color w:val="auto"/>
                <w:kern w:val="0"/>
                <w:sz w:val="21"/>
                <w:szCs w:val="21"/>
                <w:lang w:eastAsia="zh-CN"/>
              </w:rPr>
              <w:t>服务</w:t>
            </w:r>
          </w:p>
        </w:tc>
        <w:tc>
          <w:tcPr>
            <w:tcW w:w="1843" w:type="dxa"/>
            <w:vAlign w:val="center"/>
          </w:tcPr>
          <w:p w14:paraId="7BB73EC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定制</w:t>
            </w:r>
          </w:p>
        </w:tc>
        <w:tc>
          <w:tcPr>
            <w:tcW w:w="4244" w:type="dxa"/>
            <w:vAlign w:val="center"/>
          </w:tcPr>
          <w:p w14:paraId="3FF17AC5">
            <w:pPr>
              <w:widowControl/>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网络布线施工，水晶头，模块安装。</w:t>
            </w:r>
          </w:p>
        </w:tc>
        <w:tc>
          <w:tcPr>
            <w:tcW w:w="614" w:type="dxa"/>
            <w:vAlign w:val="center"/>
          </w:tcPr>
          <w:p w14:paraId="2DFF9CE0">
            <w:pPr>
              <w:widowControl/>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按点位</w:t>
            </w:r>
          </w:p>
        </w:tc>
        <w:tc>
          <w:tcPr>
            <w:tcW w:w="747" w:type="dxa"/>
            <w:vAlign w:val="center"/>
          </w:tcPr>
          <w:p w14:paraId="423217E3">
            <w:pPr>
              <w:spacing w:line="400" w:lineRule="exact"/>
              <w:jc w:val="center"/>
              <w:rPr>
                <w:rFonts w:ascii="宋体" w:hAnsi="宋体" w:cs="宋体"/>
                <w:color w:val="auto"/>
                <w:sz w:val="21"/>
                <w:szCs w:val="21"/>
              </w:rPr>
            </w:pPr>
            <w:r>
              <w:rPr>
                <w:rFonts w:hint="eastAsia" w:ascii="宋体" w:hAnsi="宋体" w:cs="宋体"/>
                <w:color w:val="auto"/>
                <w:sz w:val="21"/>
                <w:szCs w:val="21"/>
              </w:rPr>
              <w:t>1016</w:t>
            </w:r>
          </w:p>
        </w:tc>
        <w:tc>
          <w:tcPr>
            <w:tcW w:w="931" w:type="dxa"/>
            <w:vAlign w:val="center"/>
          </w:tcPr>
          <w:p w14:paraId="16CB497E">
            <w:pPr>
              <w:spacing w:line="400" w:lineRule="exact"/>
              <w:jc w:val="center"/>
              <w:rPr>
                <w:rFonts w:ascii="宋体" w:hAnsi="宋体" w:cs="宋体"/>
                <w:color w:val="auto"/>
                <w:sz w:val="21"/>
                <w:szCs w:val="21"/>
              </w:rPr>
            </w:pPr>
            <w:r>
              <w:rPr>
                <w:rFonts w:hint="eastAsia" w:ascii="宋体" w:hAnsi="宋体" w:cs="宋体"/>
                <w:color w:val="auto"/>
                <w:sz w:val="21"/>
                <w:szCs w:val="21"/>
              </w:rPr>
              <w:t>90</w:t>
            </w:r>
          </w:p>
        </w:tc>
        <w:tc>
          <w:tcPr>
            <w:tcW w:w="931" w:type="dxa"/>
            <w:vAlign w:val="center"/>
          </w:tcPr>
          <w:p w14:paraId="0FCF1B14">
            <w:pPr>
              <w:spacing w:line="400" w:lineRule="exact"/>
              <w:jc w:val="center"/>
              <w:rPr>
                <w:rFonts w:ascii="宋体" w:hAnsi="宋体" w:cs="宋体"/>
                <w:color w:val="auto"/>
                <w:sz w:val="21"/>
                <w:szCs w:val="21"/>
              </w:rPr>
            </w:pPr>
            <w:r>
              <w:rPr>
                <w:rFonts w:hint="eastAsia" w:ascii="宋体" w:hAnsi="宋体" w:cs="宋体"/>
                <w:color w:val="auto"/>
                <w:sz w:val="21"/>
                <w:szCs w:val="21"/>
              </w:rPr>
              <w:t>91440</w:t>
            </w:r>
          </w:p>
        </w:tc>
      </w:tr>
      <w:tr w14:paraId="73B4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14:paraId="3897F5EC">
            <w:pPr>
              <w:widowControl/>
              <w:spacing w:line="400" w:lineRule="exact"/>
              <w:jc w:val="center"/>
              <w:rPr>
                <w:color w:val="auto"/>
                <w:kern w:val="0"/>
                <w:sz w:val="21"/>
                <w:szCs w:val="21"/>
              </w:rPr>
            </w:pPr>
            <w:r>
              <w:rPr>
                <w:rFonts w:hint="eastAsia"/>
                <w:color w:val="auto"/>
                <w:kern w:val="0"/>
                <w:sz w:val="21"/>
                <w:szCs w:val="21"/>
              </w:rPr>
              <w:t>34</w:t>
            </w:r>
          </w:p>
        </w:tc>
        <w:tc>
          <w:tcPr>
            <w:tcW w:w="951" w:type="dxa"/>
            <w:gridSpan w:val="2"/>
            <w:vAlign w:val="center"/>
          </w:tcPr>
          <w:p w14:paraId="38C23115">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系统集成服务</w:t>
            </w:r>
          </w:p>
        </w:tc>
        <w:tc>
          <w:tcPr>
            <w:tcW w:w="1843" w:type="dxa"/>
            <w:vAlign w:val="center"/>
          </w:tcPr>
          <w:p w14:paraId="0CE1BE03">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定制</w:t>
            </w:r>
          </w:p>
        </w:tc>
        <w:tc>
          <w:tcPr>
            <w:tcW w:w="4244" w:type="dxa"/>
            <w:vAlign w:val="center"/>
          </w:tcPr>
          <w:p w14:paraId="4B43223A">
            <w:pPr>
              <w:widowControl/>
              <w:spacing w:line="400" w:lineRule="exact"/>
              <w:jc w:val="left"/>
              <w:rPr>
                <w:rFonts w:ascii="宋体" w:hAnsi="宋体" w:cs="宋体"/>
                <w:color w:val="auto"/>
                <w:sz w:val="21"/>
                <w:szCs w:val="21"/>
              </w:rPr>
            </w:pPr>
            <w:r>
              <w:rPr>
                <w:rFonts w:hint="eastAsia" w:ascii="宋体" w:hAnsi="宋体" w:cs="宋体"/>
                <w:color w:val="auto"/>
                <w:sz w:val="21"/>
                <w:szCs w:val="21"/>
              </w:rPr>
              <w:t>按</w:t>
            </w:r>
            <w:r>
              <w:rPr>
                <w:rFonts w:hint="eastAsia" w:ascii="宋体" w:hAnsi="宋体"/>
                <w:color w:val="auto"/>
                <w:sz w:val="21"/>
                <w:szCs w:val="21"/>
              </w:rPr>
              <w:t>《综合布线系统工程验收规范GB/T 50312-2016》</w:t>
            </w:r>
            <w:r>
              <w:rPr>
                <w:rFonts w:hint="eastAsia" w:ascii="宋体" w:hAnsi="宋体" w:cs="宋体"/>
                <w:color w:val="auto"/>
                <w:sz w:val="21"/>
                <w:szCs w:val="21"/>
              </w:rPr>
              <w:t>完成施工，包含必备的钉子、胶水、胶布、线卡、水晶头等小配件，并进行必须的原有网络与综合布线系统整理，机房机柜重新摆放，弱电系统标准化整理，对网络线路统一贴标，综合布线系统通过福禄克Fluke网络专业测试仪测试并出具报告。施工标准详见附件。</w:t>
            </w:r>
          </w:p>
        </w:tc>
        <w:tc>
          <w:tcPr>
            <w:tcW w:w="614" w:type="dxa"/>
            <w:vAlign w:val="center"/>
          </w:tcPr>
          <w:p w14:paraId="6984DA31">
            <w:pPr>
              <w:widowControl/>
              <w:spacing w:line="400" w:lineRule="exact"/>
              <w:jc w:val="center"/>
              <w:rPr>
                <w:rFonts w:ascii="宋体" w:hAnsi="宋体" w:cs="宋体"/>
                <w:color w:val="auto"/>
                <w:sz w:val="21"/>
                <w:szCs w:val="21"/>
              </w:rPr>
            </w:pPr>
            <w:r>
              <w:rPr>
                <w:rFonts w:hint="eastAsia" w:ascii="宋体" w:hAnsi="宋体" w:cs="宋体"/>
                <w:color w:val="auto"/>
                <w:sz w:val="21"/>
                <w:szCs w:val="21"/>
              </w:rPr>
              <w:t>按点位</w:t>
            </w:r>
          </w:p>
        </w:tc>
        <w:tc>
          <w:tcPr>
            <w:tcW w:w="747" w:type="dxa"/>
            <w:vAlign w:val="center"/>
          </w:tcPr>
          <w:p w14:paraId="28B382D0">
            <w:pPr>
              <w:spacing w:line="400" w:lineRule="exact"/>
              <w:jc w:val="center"/>
              <w:rPr>
                <w:rFonts w:ascii="宋体" w:hAnsi="宋体" w:cs="宋体"/>
                <w:color w:val="auto"/>
                <w:sz w:val="21"/>
                <w:szCs w:val="21"/>
              </w:rPr>
            </w:pPr>
            <w:r>
              <w:rPr>
                <w:rFonts w:hint="eastAsia" w:ascii="宋体" w:hAnsi="宋体" w:cs="宋体"/>
                <w:color w:val="auto"/>
                <w:sz w:val="21"/>
                <w:szCs w:val="21"/>
              </w:rPr>
              <w:t>70</w:t>
            </w:r>
          </w:p>
        </w:tc>
        <w:tc>
          <w:tcPr>
            <w:tcW w:w="931" w:type="dxa"/>
            <w:vAlign w:val="center"/>
          </w:tcPr>
          <w:p w14:paraId="09AE2674">
            <w:pPr>
              <w:spacing w:line="400" w:lineRule="exact"/>
              <w:jc w:val="center"/>
              <w:rPr>
                <w:rFonts w:ascii="宋体" w:hAnsi="宋体" w:cs="宋体"/>
                <w:color w:val="auto"/>
                <w:sz w:val="21"/>
                <w:szCs w:val="21"/>
              </w:rPr>
            </w:pPr>
            <w:r>
              <w:rPr>
                <w:rFonts w:hint="eastAsia" w:ascii="宋体" w:hAnsi="宋体" w:cs="宋体"/>
                <w:color w:val="auto"/>
                <w:sz w:val="21"/>
                <w:szCs w:val="21"/>
              </w:rPr>
              <w:t>230</w:t>
            </w:r>
          </w:p>
        </w:tc>
        <w:tc>
          <w:tcPr>
            <w:tcW w:w="931" w:type="dxa"/>
            <w:vAlign w:val="center"/>
          </w:tcPr>
          <w:p w14:paraId="7905EF27">
            <w:pPr>
              <w:spacing w:line="400" w:lineRule="exact"/>
              <w:jc w:val="center"/>
              <w:rPr>
                <w:rFonts w:ascii="宋体" w:hAnsi="宋体" w:cs="宋体"/>
                <w:color w:val="auto"/>
                <w:sz w:val="21"/>
                <w:szCs w:val="21"/>
              </w:rPr>
            </w:pPr>
            <w:r>
              <w:rPr>
                <w:rFonts w:hint="eastAsia" w:ascii="宋体" w:hAnsi="宋体" w:cs="宋体"/>
                <w:color w:val="auto"/>
                <w:sz w:val="21"/>
                <w:szCs w:val="21"/>
              </w:rPr>
              <w:t>16100</w:t>
            </w:r>
          </w:p>
        </w:tc>
      </w:tr>
      <w:tr w14:paraId="5C3C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18" w:type="dxa"/>
            <w:gridSpan w:val="8"/>
            <w:tcBorders>
              <w:top w:val="single" w:color="000000" w:sz="4" w:space="0"/>
              <w:left w:val="single" w:color="000000" w:sz="4" w:space="0"/>
              <w:bottom w:val="single" w:color="000000" w:sz="4" w:space="0"/>
            </w:tcBorders>
            <w:vAlign w:val="center"/>
          </w:tcPr>
          <w:p w14:paraId="73BD9D16">
            <w:pPr>
              <w:spacing w:line="400" w:lineRule="exact"/>
              <w:jc w:val="center"/>
              <w:rPr>
                <w:rFonts w:ascii="宋体" w:hAnsi="宋体" w:cs="宋体"/>
                <w:color w:val="auto"/>
                <w:sz w:val="21"/>
                <w:szCs w:val="21"/>
              </w:rPr>
            </w:pPr>
            <w:r>
              <w:rPr>
                <w:rFonts w:hint="eastAsia" w:ascii="宋体" w:hAnsi="宋体" w:cs="宋体"/>
                <w:color w:val="auto"/>
                <w:sz w:val="21"/>
                <w:szCs w:val="21"/>
              </w:rPr>
              <w:t>合计</w:t>
            </w:r>
          </w:p>
        </w:tc>
        <w:tc>
          <w:tcPr>
            <w:tcW w:w="931" w:type="dxa"/>
            <w:vAlign w:val="center"/>
          </w:tcPr>
          <w:p w14:paraId="4C405CFD">
            <w:pPr>
              <w:spacing w:line="400" w:lineRule="exact"/>
              <w:jc w:val="center"/>
              <w:rPr>
                <w:rFonts w:ascii="宋体" w:hAnsi="宋体" w:cs="宋体"/>
                <w:color w:val="auto"/>
                <w:sz w:val="21"/>
                <w:szCs w:val="21"/>
              </w:rPr>
            </w:pPr>
            <w:r>
              <w:rPr>
                <w:rFonts w:hint="eastAsia" w:ascii="宋体" w:hAnsi="宋体" w:cs="宋体"/>
                <w:color w:val="auto"/>
                <w:sz w:val="21"/>
                <w:szCs w:val="21"/>
              </w:rPr>
              <w:t>294198</w:t>
            </w:r>
          </w:p>
        </w:tc>
      </w:tr>
      <w:tr w14:paraId="6B7A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49" w:type="dxa"/>
            <w:gridSpan w:val="9"/>
            <w:vAlign w:val="center"/>
          </w:tcPr>
          <w:p w14:paraId="0A293FA3">
            <w:pPr>
              <w:spacing w:line="400" w:lineRule="exact"/>
              <w:jc w:val="left"/>
              <w:rPr>
                <w:rFonts w:ascii="宋体" w:hAnsi="宋体"/>
                <w:color w:val="auto"/>
                <w:sz w:val="21"/>
                <w:szCs w:val="21"/>
              </w:rPr>
            </w:pPr>
            <w:r>
              <w:rPr>
                <w:rFonts w:hint="eastAsia" w:ascii="宋体" w:hAnsi="宋体"/>
                <w:b/>
                <w:bCs/>
                <w:color w:val="auto"/>
                <w:sz w:val="21"/>
                <w:szCs w:val="21"/>
              </w:rPr>
              <w:t>（二）商务要求：</w:t>
            </w:r>
          </w:p>
        </w:tc>
      </w:tr>
      <w:tr w14:paraId="0791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5" w:type="dxa"/>
            <w:gridSpan w:val="2"/>
            <w:vAlign w:val="center"/>
          </w:tcPr>
          <w:p w14:paraId="6704C918">
            <w:pPr>
              <w:widowControl/>
              <w:spacing w:line="400" w:lineRule="exact"/>
              <w:jc w:val="left"/>
              <w:rPr>
                <w:rFonts w:ascii="宋体" w:hAnsi="宋体"/>
                <w:color w:val="auto"/>
                <w:sz w:val="21"/>
                <w:szCs w:val="21"/>
              </w:rPr>
            </w:pPr>
            <w:r>
              <w:rPr>
                <w:rFonts w:hint="eastAsia" w:ascii="宋体" w:hAnsi="宋体"/>
                <w:color w:val="auto"/>
                <w:sz w:val="21"/>
                <w:szCs w:val="21"/>
              </w:rPr>
              <w:t>售后服务要求及免费维护、升级期</w:t>
            </w:r>
          </w:p>
        </w:tc>
        <w:tc>
          <w:tcPr>
            <w:tcW w:w="10044" w:type="dxa"/>
            <w:gridSpan w:val="7"/>
            <w:vAlign w:val="center"/>
          </w:tcPr>
          <w:p w14:paraId="3DA391EF">
            <w:pPr>
              <w:widowControl/>
              <w:spacing w:line="400" w:lineRule="exact"/>
              <w:jc w:val="left"/>
              <w:rPr>
                <w:rFonts w:ascii="宋体" w:hAnsi="宋体"/>
                <w:color w:val="auto"/>
                <w:sz w:val="21"/>
                <w:szCs w:val="21"/>
              </w:rPr>
            </w:pPr>
            <w:r>
              <w:rPr>
                <w:rFonts w:hint="eastAsia" w:ascii="宋体" w:hAnsi="宋体"/>
                <w:color w:val="auto"/>
                <w:sz w:val="21"/>
                <w:szCs w:val="21"/>
              </w:rPr>
              <w:t>1、按国家有关产品“三包”规定执行“三包”，产品免费保修（维护、技术支持）期最短不得少于1年；免费保修（维护、技术支持）期均从验收合格交付使用之日起计算。免费保修（维护、技术支持）期内免费上门维修，免费更换零配件）。</w:t>
            </w:r>
          </w:p>
          <w:p w14:paraId="47224D19">
            <w:pPr>
              <w:widowControl/>
              <w:spacing w:line="400" w:lineRule="exact"/>
              <w:jc w:val="left"/>
              <w:rPr>
                <w:rFonts w:ascii="宋体" w:hAnsi="宋体"/>
                <w:color w:val="auto"/>
                <w:sz w:val="21"/>
                <w:szCs w:val="21"/>
              </w:rPr>
            </w:pPr>
            <w:r>
              <w:rPr>
                <w:rFonts w:hint="eastAsia" w:ascii="宋体" w:hAnsi="宋体"/>
                <w:color w:val="auto"/>
                <w:sz w:val="21"/>
                <w:szCs w:val="21"/>
              </w:rPr>
              <w:t>2、提供7×24小时免费上门服务，接招标人报障电话2小时内响应，设备生产厂家或其授权工程师需在2小时内抵达现场；故障无法当日解决必须提供同档次备件或备机（项目采购需求“要求”中有特别规定的，按规定执行）。因人为因素出现的故障不在免费保修范围内。超过保修期的货物，终生维修，维修时只收部件成本费。</w:t>
            </w:r>
          </w:p>
          <w:p w14:paraId="09F498AB">
            <w:pPr>
              <w:widowControl/>
              <w:spacing w:line="400" w:lineRule="exact"/>
              <w:jc w:val="left"/>
              <w:rPr>
                <w:rFonts w:ascii="宋体" w:hAnsi="宋体"/>
                <w:color w:val="auto"/>
                <w:sz w:val="21"/>
                <w:szCs w:val="21"/>
              </w:rPr>
            </w:pPr>
            <w:r>
              <w:rPr>
                <w:rFonts w:hint="eastAsia" w:ascii="宋体" w:hAnsi="宋体"/>
                <w:color w:val="auto"/>
                <w:sz w:val="21"/>
                <w:szCs w:val="21"/>
              </w:rPr>
              <w:t>3、★为保障项目在设备安装调试、系统联调及后期运维阶段的高效推进，同时确保7×24小时故障响应、1小时内现场技术支持的售后标准，本项目承接方须为在本地设有常驻技术团队、仓储中心及售后网点的本地化服务企业（提供营业执照副本复印件或办公场地产权或租赁合同复印件等）。</w:t>
            </w:r>
          </w:p>
        </w:tc>
      </w:tr>
      <w:tr w14:paraId="5023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5" w:type="dxa"/>
            <w:gridSpan w:val="2"/>
            <w:vAlign w:val="center"/>
          </w:tcPr>
          <w:p w14:paraId="766B9554">
            <w:pPr>
              <w:widowControl/>
              <w:spacing w:line="400" w:lineRule="exact"/>
              <w:jc w:val="left"/>
              <w:rPr>
                <w:rFonts w:ascii="宋体" w:hAnsi="宋体"/>
                <w:color w:val="auto"/>
                <w:sz w:val="21"/>
                <w:szCs w:val="21"/>
              </w:rPr>
            </w:pPr>
            <w:r>
              <w:rPr>
                <w:rFonts w:hint="eastAsia" w:ascii="宋体" w:hAnsi="宋体"/>
                <w:color w:val="auto"/>
                <w:sz w:val="21"/>
                <w:szCs w:val="21"/>
              </w:rPr>
              <w:t>交付使用时间及地点</w:t>
            </w:r>
          </w:p>
        </w:tc>
        <w:tc>
          <w:tcPr>
            <w:tcW w:w="10044" w:type="dxa"/>
            <w:gridSpan w:val="7"/>
            <w:vAlign w:val="center"/>
          </w:tcPr>
          <w:p w14:paraId="184CA776">
            <w:pPr>
              <w:widowControl/>
              <w:spacing w:line="400" w:lineRule="exact"/>
              <w:jc w:val="left"/>
              <w:rPr>
                <w:rFonts w:ascii="宋体" w:hAnsi="宋体"/>
                <w:color w:val="auto"/>
                <w:sz w:val="21"/>
                <w:szCs w:val="21"/>
              </w:rPr>
            </w:pPr>
            <w:r>
              <w:rPr>
                <w:rFonts w:hint="eastAsia" w:ascii="宋体" w:hAnsi="宋体"/>
                <w:color w:val="auto"/>
                <w:sz w:val="21"/>
                <w:szCs w:val="21"/>
              </w:rPr>
              <w:t>1、交付使用时间</w:t>
            </w:r>
          </w:p>
          <w:p w14:paraId="4FC11BBB">
            <w:pPr>
              <w:widowControl/>
              <w:spacing w:line="400" w:lineRule="exact"/>
              <w:jc w:val="left"/>
              <w:rPr>
                <w:rFonts w:ascii="宋体" w:hAnsi="宋体"/>
                <w:color w:val="auto"/>
                <w:sz w:val="21"/>
                <w:szCs w:val="21"/>
              </w:rPr>
            </w:pPr>
            <w:r>
              <w:rPr>
                <w:rFonts w:hint="eastAsia" w:ascii="宋体" w:hAnsi="宋体"/>
                <w:color w:val="auto"/>
                <w:sz w:val="21"/>
                <w:szCs w:val="21"/>
              </w:rPr>
              <w:t>（1）货物：自接到医院货物采购需求7个日历日内送货上门并完成安装调试运行。</w:t>
            </w:r>
          </w:p>
          <w:p w14:paraId="3E51A1CF">
            <w:pPr>
              <w:widowControl/>
              <w:spacing w:line="400" w:lineRule="exact"/>
              <w:jc w:val="left"/>
              <w:rPr>
                <w:rFonts w:ascii="宋体" w:hAnsi="宋体"/>
                <w:color w:val="auto"/>
                <w:sz w:val="21"/>
                <w:szCs w:val="21"/>
              </w:rPr>
            </w:pPr>
            <w:r>
              <w:rPr>
                <w:rFonts w:hint="eastAsia" w:ascii="宋体" w:hAnsi="宋体"/>
                <w:color w:val="auto"/>
                <w:sz w:val="21"/>
                <w:szCs w:val="21"/>
              </w:rPr>
              <w:t>（2）综合布线：自接到医院综合布线任务10个日历日内完成施工。</w:t>
            </w:r>
          </w:p>
          <w:p w14:paraId="5CB969F9">
            <w:pPr>
              <w:widowControl/>
              <w:spacing w:line="400" w:lineRule="exact"/>
              <w:jc w:val="left"/>
              <w:rPr>
                <w:rFonts w:ascii="宋体" w:hAnsi="宋体"/>
                <w:color w:val="auto"/>
                <w:sz w:val="21"/>
                <w:szCs w:val="21"/>
              </w:rPr>
            </w:pPr>
            <w:r>
              <w:rPr>
                <w:rFonts w:hint="eastAsia" w:ascii="宋体" w:hAnsi="宋体"/>
                <w:color w:val="auto"/>
                <w:sz w:val="21"/>
                <w:szCs w:val="21"/>
              </w:rPr>
              <w:t>2、交货地点：广西桂林市采购人指定地点。</w:t>
            </w:r>
          </w:p>
        </w:tc>
      </w:tr>
      <w:tr w14:paraId="2ECC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05" w:type="dxa"/>
            <w:gridSpan w:val="2"/>
            <w:vAlign w:val="center"/>
          </w:tcPr>
          <w:p w14:paraId="78F02263">
            <w:pPr>
              <w:widowControl/>
              <w:spacing w:line="400" w:lineRule="exact"/>
              <w:jc w:val="left"/>
              <w:rPr>
                <w:rFonts w:ascii="宋体" w:hAnsi="宋体"/>
                <w:color w:val="auto"/>
                <w:sz w:val="21"/>
                <w:szCs w:val="21"/>
              </w:rPr>
            </w:pPr>
            <w:r>
              <w:rPr>
                <w:rFonts w:hint="eastAsia" w:ascii="宋体" w:hAnsi="宋体"/>
                <w:color w:val="auto"/>
                <w:sz w:val="21"/>
                <w:szCs w:val="21"/>
              </w:rPr>
              <w:t>付款方式</w:t>
            </w:r>
          </w:p>
        </w:tc>
        <w:tc>
          <w:tcPr>
            <w:tcW w:w="10044" w:type="dxa"/>
            <w:gridSpan w:val="7"/>
            <w:vAlign w:val="center"/>
          </w:tcPr>
          <w:p w14:paraId="2F641D83">
            <w:pPr>
              <w:spacing w:line="400" w:lineRule="exact"/>
              <w:jc w:val="left"/>
              <w:rPr>
                <w:rFonts w:ascii="宋体" w:hAnsi="宋体"/>
                <w:color w:val="auto"/>
                <w:kern w:val="0"/>
                <w:sz w:val="21"/>
                <w:szCs w:val="21"/>
              </w:rPr>
            </w:pPr>
            <w:r>
              <w:rPr>
                <w:rFonts w:hint="eastAsia" w:ascii="宋体" w:hAnsi="宋体"/>
                <w:color w:val="auto"/>
                <w:sz w:val="21"/>
                <w:szCs w:val="21"/>
              </w:rPr>
              <w:t>货款每（季度）结算一次，货物验收合格后，乙方按实际送货的数量及核实的结算总价款向甲方出具正规等额、有效发票，甲方自收到发票30个工作日后将全部货款支付给乙方。</w:t>
            </w:r>
          </w:p>
        </w:tc>
      </w:tr>
      <w:tr w14:paraId="180D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05" w:type="dxa"/>
            <w:gridSpan w:val="2"/>
            <w:shd w:val="clear" w:color="auto" w:fill="auto"/>
            <w:vAlign w:val="center"/>
          </w:tcPr>
          <w:p w14:paraId="6C19BBA3">
            <w:pPr>
              <w:widowControl/>
              <w:spacing w:line="400" w:lineRule="exact"/>
              <w:jc w:val="left"/>
              <w:rPr>
                <w:rFonts w:ascii="宋体" w:hAnsi="宋体"/>
                <w:color w:val="auto"/>
                <w:sz w:val="21"/>
                <w:szCs w:val="21"/>
              </w:rPr>
            </w:pPr>
            <w:r>
              <w:rPr>
                <w:rFonts w:hint="eastAsia" w:ascii="宋体" w:hAnsi="宋体"/>
                <w:color w:val="auto"/>
                <w:sz w:val="21"/>
                <w:szCs w:val="21"/>
              </w:rPr>
              <w:t>验收</w:t>
            </w:r>
          </w:p>
          <w:p w14:paraId="226612AF">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要求</w:t>
            </w:r>
          </w:p>
        </w:tc>
        <w:tc>
          <w:tcPr>
            <w:tcW w:w="10044" w:type="dxa"/>
            <w:gridSpan w:val="7"/>
            <w:shd w:val="clear" w:color="auto" w:fill="auto"/>
            <w:vAlign w:val="center"/>
          </w:tcPr>
          <w:p w14:paraId="632CBD19">
            <w:pPr>
              <w:widowControl/>
              <w:spacing w:line="400" w:lineRule="exact"/>
              <w:jc w:val="left"/>
              <w:rPr>
                <w:rFonts w:ascii="宋体" w:hAnsi="宋体"/>
                <w:color w:val="auto"/>
                <w:sz w:val="21"/>
                <w:szCs w:val="21"/>
              </w:rPr>
            </w:pPr>
            <w:r>
              <w:rPr>
                <w:rFonts w:hint="eastAsia" w:ascii="宋体" w:hAnsi="宋体"/>
                <w:color w:val="auto"/>
                <w:sz w:val="21"/>
                <w:szCs w:val="21"/>
              </w:rPr>
              <w:t>1、★货物验收：招标范围内的货物免费送货上门，免费安装调试合格，免费提供技术培训（包括免费提供完善的产品使用、操作培训及中文操作手册）。</w:t>
            </w:r>
          </w:p>
          <w:p w14:paraId="64987D9B">
            <w:pPr>
              <w:widowControl/>
              <w:spacing w:line="400" w:lineRule="exact"/>
              <w:jc w:val="left"/>
              <w:rPr>
                <w:rFonts w:ascii="宋体" w:hAnsi="宋体"/>
                <w:color w:val="auto"/>
                <w:sz w:val="21"/>
                <w:szCs w:val="21"/>
              </w:rPr>
            </w:pPr>
            <w:r>
              <w:rPr>
                <w:rFonts w:hint="eastAsia" w:ascii="宋体" w:hAnsi="宋体"/>
                <w:color w:val="auto"/>
                <w:sz w:val="21"/>
                <w:szCs w:val="21"/>
              </w:rPr>
              <w:t>2、★综合布线施工验收</w:t>
            </w:r>
          </w:p>
          <w:p w14:paraId="1D08E7DF">
            <w:pPr>
              <w:widowControl/>
              <w:spacing w:line="400" w:lineRule="exact"/>
              <w:jc w:val="left"/>
              <w:rPr>
                <w:rFonts w:ascii="宋体" w:hAnsi="宋体"/>
                <w:color w:val="auto"/>
                <w:sz w:val="21"/>
                <w:szCs w:val="21"/>
              </w:rPr>
            </w:pPr>
            <w:r>
              <w:rPr>
                <w:rFonts w:hint="eastAsia" w:ascii="宋体" w:hAnsi="宋体"/>
                <w:color w:val="auto"/>
                <w:sz w:val="21"/>
                <w:szCs w:val="21"/>
              </w:rPr>
              <w:t>（1）医院综合布线系统与基础架构的建设完成后，必须对原有网络与综合布线系统进行整理，机房机柜重新摆放，弱电系统进行标准化整理，对机房内网络线路统一贴标。</w:t>
            </w:r>
          </w:p>
          <w:p w14:paraId="46286D89">
            <w:pPr>
              <w:widowControl/>
              <w:spacing w:line="400" w:lineRule="exact"/>
              <w:jc w:val="left"/>
              <w:rPr>
                <w:rFonts w:ascii="宋体" w:hAnsi="宋体"/>
                <w:color w:val="auto"/>
                <w:sz w:val="21"/>
                <w:szCs w:val="21"/>
              </w:rPr>
            </w:pPr>
            <w:r>
              <w:rPr>
                <w:rFonts w:hint="eastAsia" w:ascii="宋体" w:hAnsi="宋体"/>
                <w:color w:val="auto"/>
                <w:sz w:val="21"/>
                <w:szCs w:val="21"/>
              </w:rPr>
              <w:t>（2）综合布线施工完成后能通过福禄克Fluke网络专业测试仪测试，并出具报告，基础网络系统集成，机房系统集成。</w:t>
            </w:r>
          </w:p>
          <w:p w14:paraId="12E312FD">
            <w:pPr>
              <w:widowControl/>
              <w:spacing w:line="400" w:lineRule="exact"/>
              <w:jc w:val="left"/>
              <w:rPr>
                <w:rFonts w:ascii="宋体" w:hAnsi="宋体"/>
                <w:color w:val="auto"/>
                <w:sz w:val="21"/>
                <w:szCs w:val="21"/>
              </w:rPr>
            </w:pPr>
            <w:r>
              <w:rPr>
                <w:rFonts w:hint="eastAsia" w:ascii="宋体" w:hAnsi="宋体"/>
                <w:color w:val="auto"/>
                <w:sz w:val="21"/>
                <w:szCs w:val="21"/>
              </w:rPr>
              <w:t>（3）按《综合布线系统工程验收规范GB/T 50312-2016》验收标准执行。</w:t>
            </w:r>
          </w:p>
          <w:p w14:paraId="6F7FF63A">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3、★如货物及综合布线项目实施完工后，未满足以上验收要求，招标人将有权不予以验收。</w:t>
            </w:r>
          </w:p>
        </w:tc>
      </w:tr>
      <w:tr w14:paraId="1A4A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05" w:type="dxa"/>
            <w:gridSpan w:val="2"/>
            <w:shd w:val="clear" w:color="auto" w:fill="auto"/>
            <w:vAlign w:val="center"/>
          </w:tcPr>
          <w:p w14:paraId="26E1B31B">
            <w:pPr>
              <w:widowControl/>
              <w:spacing w:line="400" w:lineRule="exact"/>
              <w:jc w:val="left"/>
              <w:rPr>
                <w:rFonts w:ascii="宋体" w:hAnsi="宋体"/>
                <w:color w:val="auto"/>
                <w:sz w:val="21"/>
                <w:szCs w:val="21"/>
              </w:rPr>
            </w:pPr>
            <w:r>
              <w:rPr>
                <w:rFonts w:hint="eastAsia" w:ascii="宋体" w:hAnsi="宋体"/>
                <w:color w:val="auto"/>
                <w:sz w:val="21"/>
                <w:szCs w:val="21"/>
              </w:rPr>
              <w:t>其他</w:t>
            </w:r>
          </w:p>
          <w:p w14:paraId="2DD4BE78">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要求</w:t>
            </w:r>
          </w:p>
        </w:tc>
        <w:tc>
          <w:tcPr>
            <w:tcW w:w="10044" w:type="dxa"/>
            <w:gridSpan w:val="7"/>
            <w:shd w:val="clear" w:color="auto" w:fill="auto"/>
            <w:vAlign w:val="center"/>
          </w:tcPr>
          <w:p w14:paraId="07876DDA">
            <w:pPr>
              <w:widowControl/>
              <w:spacing w:line="400" w:lineRule="exact"/>
              <w:jc w:val="left"/>
              <w:rPr>
                <w:rFonts w:ascii="宋体" w:hAnsi="宋体" w:cs="宋体"/>
                <w:color w:val="auto"/>
                <w:kern w:val="0"/>
                <w:sz w:val="21"/>
                <w:szCs w:val="21"/>
              </w:rPr>
            </w:pPr>
            <w:r>
              <w:rPr>
                <w:rFonts w:hint="eastAsia" w:ascii="宋体" w:hAnsi="宋体"/>
                <w:color w:val="auto"/>
                <w:szCs w:val="21"/>
              </w:rPr>
              <w:t>1、签订合同时必须提供所投本项目第1-28序号产品生产厂家盖章并针对本项目出具的授权书及售后服务承诺书原件，否则</w:t>
            </w:r>
            <w:r>
              <w:rPr>
                <w:rFonts w:hint="eastAsia" w:ascii="宋体" w:hAnsi="宋体"/>
                <w:color w:val="auto"/>
                <w:szCs w:val="21"/>
                <w:lang w:eastAsia="zh-CN"/>
              </w:rPr>
              <w:t>不予签订合同</w:t>
            </w:r>
            <w:r>
              <w:rPr>
                <w:rFonts w:hint="eastAsia" w:ascii="宋体" w:hAnsi="宋体"/>
                <w:color w:val="auto"/>
                <w:szCs w:val="21"/>
              </w:rPr>
              <w:t>。</w:t>
            </w:r>
          </w:p>
          <w:p w14:paraId="7C84D04D">
            <w:pPr>
              <w:widowControl/>
              <w:spacing w:line="400" w:lineRule="exact"/>
              <w:jc w:val="left"/>
              <w:rPr>
                <w:rFonts w:ascii="宋体" w:hAnsi="宋体"/>
                <w:color w:val="auto"/>
                <w:sz w:val="21"/>
                <w:szCs w:val="21"/>
              </w:rPr>
            </w:pPr>
            <w:r>
              <w:rPr>
                <w:rFonts w:hint="eastAsia" w:ascii="宋体" w:hAnsi="宋体"/>
                <w:color w:val="auto"/>
                <w:sz w:val="21"/>
                <w:szCs w:val="21"/>
              </w:rPr>
              <w:t>2、新增网络线路需按要求与医院现有网络进行系统集成。</w:t>
            </w:r>
          </w:p>
          <w:p w14:paraId="37EA4709">
            <w:pPr>
              <w:widowControl/>
              <w:spacing w:line="400" w:lineRule="exact"/>
              <w:jc w:val="left"/>
              <w:rPr>
                <w:rFonts w:ascii="宋体" w:hAnsi="宋体"/>
                <w:color w:val="auto"/>
                <w:sz w:val="21"/>
                <w:szCs w:val="21"/>
              </w:rPr>
            </w:pPr>
            <w:r>
              <w:rPr>
                <w:rFonts w:hint="eastAsia" w:ascii="宋体" w:hAnsi="宋体"/>
                <w:color w:val="auto"/>
                <w:sz w:val="21"/>
                <w:szCs w:val="21"/>
              </w:rPr>
              <w:t>3、本次招标所有货物报价按单项报价，如有二次报价按单项下浮报价，否则投标无效。</w:t>
            </w:r>
          </w:p>
          <w:p w14:paraId="57D365A0">
            <w:pPr>
              <w:widowControl/>
              <w:spacing w:line="400" w:lineRule="exact"/>
              <w:jc w:val="left"/>
              <w:rPr>
                <w:rFonts w:ascii="宋体" w:hAnsi="宋体"/>
                <w:color w:val="auto"/>
                <w:sz w:val="21"/>
                <w:szCs w:val="21"/>
              </w:rPr>
            </w:pPr>
            <w:r>
              <w:rPr>
                <w:rFonts w:hint="eastAsia" w:ascii="宋体" w:hAnsi="宋体"/>
                <w:color w:val="auto"/>
                <w:sz w:val="21"/>
                <w:szCs w:val="21"/>
              </w:rPr>
              <w:t>4、本项目不接受联合体投标。</w:t>
            </w:r>
          </w:p>
          <w:p w14:paraId="50B8FC56">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5、</w:t>
            </w:r>
            <w:r>
              <w:rPr>
                <w:rFonts w:hint="eastAsia" w:ascii="宋体" w:hAnsi="宋体"/>
                <w:color w:val="auto"/>
                <w:sz w:val="21"/>
                <w:szCs w:val="21"/>
              </w:rPr>
              <w:t>标注“★”项的条款及要求“必须提供”的条款均为实质性要求，若有任意一项负偏离的，按否决投标处理。</w:t>
            </w:r>
          </w:p>
        </w:tc>
      </w:tr>
      <w:tr w14:paraId="27E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05" w:type="dxa"/>
            <w:gridSpan w:val="2"/>
            <w:shd w:val="clear" w:color="auto" w:fill="auto"/>
            <w:vAlign w:val="center"/>
          </w:tcPr>
          <w:p w14:paraId="6880BE1F">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施工要求</w:t>
            </w:r>
          </w:p>
        </w:tc>
        <w:tc>
          <w:tcPr>
            <w:tcW w:w="10044" w:type="dxa"/>
            <w:gridSpan w:val="7"/>
            <w:shd w:val="clear" w:color="auto" w:fill="auto"/>
            <w:vAlign w:val="center"/>
          </w:tcPr>
          <w:p w14:paraId="09C3C562">
            <w:pPr>
              <w:widowControl/>
              <w:spacing w:line="400" w:lineRule="exact"/>
              <w:jc w:val="left"/>
              <w:rPr>
                <w:rFonts w:ascii="宋体" w:hAnsi="宋体"/>
                <w:color w:val="auto"/>
                <w:sz w:val="21"/>
                <w:szCs w:val="21"/>
              </w:rPr>
            </w:pPr>
            <w:r>
              <w:rPr>
                <w:rFonts w:hint="eastAsia" w:ascii="宋体" w:hAnsi="宋体"/>
                <w:color w:val="auto"/>
                <w:sz w:val="21"/>
                <w:szCs w:val="21"/>
              </w:rPr>
              <w:t>一、施工前准备：</w:t>
            </w:r>
          </w:p>
          <w:p w14:paraId="48A16C2B">
            <w:pPr>
              <w:widowControl/>
              <w:spacing w:line="400" w:lineRule="exact"/>
              <w:jc w:val="left"/>
              <w:rPr>
                <w:rFonts w:ascii="宋体" w:hAnsi="宋体"/>
                <w:color w:val="auto"/>
                <w:sz w:val="21"/>
                <w:szCs w:val="21"/>
              </w:rPr>
            </w:pPr>
            <w:r>
              <w:rPr>
                <w:rFonts w:hint="eastAsia" w:ascii="宋体" w:hAnsi="宋体"/>
                <w:color w:val="auto"/>
                <w:sz w:val="21"/>
                <w:szCs w:val="21"/>
              </w:rPr>
              <w:t>1、工程所用缆线和器材的品牌、型号、规格、数量、质量应在施工前进行检查，应符合设计要求并具备相应合格材料。如发现与设计不符者，不得在工程中使用。</w:t>
            </w:r>
          </w:p>
          <w:p w14:paraId="4B7124EC">
            <w:pPr>
              <w:widowControl/>
              <w:spacing w:line="400" w:lineRule="exact"/>
              <w:jc w:val="left"/>
              <w:rPr>
                <w:rFonts w:ascii="宋体" w:hAnsi="宋体"/>
                <w:color w:val="auto"/>
                <w:sz w:val="21"/>
                <w:szCs w:val="21"/>
              </w:rPr>
            </w:pPr>
            <w:r>
              <w:rPr>
                <w:rFonts w:hint="eastAsia" w:ascii="宋体" w:hAnsi="宋体"/>
                <w:color w:val="auto"/>
                <w:sz w:val="21"/>
                <w:szCs w:val="21"/>
              </w:rPr>
              <w:t>2、经检验的器材应做好记录，对不合格的器件应单独存放，以备核查与处理。</w:t>
            </w:r>
          </w:p>
          <w:p w14:paraId="20AF16D4">
            <w:pPr>
              <w:widowControl/>
              <w:spacing w:line="400" w:lineRule="exact"/>
              <w:jc w:val="left"/>
              <w:rPr>
                <w:rFonts w:ascii="宋体" w:hAnsi="宋体"/>
                <w:color w:val="auto"/>
                <w:sz w:val="21"/>
                <w:szCs w:val="21"/>
              </w:rPr>
            </w:pPr>
            <w:r>
              <w:rPr>
                <w:rFonts w:hint="eastAsia" w:ascii="宋体" w:hAnsi="宋体"/>
                <w:color w:val="auto"/>
                <w:sz w:val="21"/>
                <w:szCs w:val="21"/>
              </w:rPr>
              <w:t>3、工程中使用的缆线、器材应与订货合同或封存的产品在规格、型号、等级上相符。</w:t>
            </w:r>
          </w:p>
          <w:p w14:paraId="1A775D1D">
            <w:pPr>
              <w:widowControl/>
              <w:spacing w:line="400" w:lineRule="exact"/>
              <w:jc w:val="left"/>
              <w:rPr>
                <w:rFonts w:ascii="宋体" w:hAnsi="宋体"/>
                <w:color w:val="auto"/>
                <w:sz w:val="21"/>
                <w:szCs w:val="21"/>
              </w:rPr>
            </w:pPr>
            <w:r>
              <w:rPr>
                <w:rFonts w:hint="eastAsia" w:ascii="宋体" w:hAnsi="宋体"/>
                <w:color w:val="auto"/>
                <w:sz w:val="21"/>
                <w:szCs w:val="21"/>
              </w:rPr>
              <w:t>4、备品、备件及各类文件资料应齐全。</w:t>
            </w:r>
          </w:p>
          <w:p w14:paraId="69265A1D">
            <w:pPr>
              <w:widowControl/>
              <w:spacing w:line="400" w:lineRule="exact"/>
              <w:jc w:val="left"/>
              <w:rPr>
                <w:rFonts w:ascii="宋体" w:hAnsi="宋体"/>
                <w:color w:val="auto"/>
                <w:sz w:val="21"/>
                <w:szCs w:val="21"/>
              </w:rPr>
            </w:pPr>
            <w:r>
              <w:rPr>
                <w:rFonts w:hint="eastAsia" w:ascii="宋体" w:hAnsi="宋体"/>
                <w:color w:val="auto"/>
                <w:sz w:val="21"/>
                <w:szCs w:val="21"/>
              </w:rPr>
              <w:t>二、配套型材、管材与铁件的检查应符合下列要求：</w:t>
            </w:r>
          </w:p>
          <w:p w14:paraId="572CB68B">
            <w:pPr>
              <w:widowControl/>
              <w:spacing w:line="400" w:lineRule="exact"/>
              <w:jc w:val="left"/>
              <w:rPr>
                <w:rFonts w:ascii="宋体" w:hAnsi="宋体"/>
                <w:color w:val="auto"/>
                <w:sz w:val="21"/>
                <w:szCs w:val="21"/>
              </w:rPr>
            </w:pPr>
            <w:r>
              <w:rPr>
                <w:rFonts w:hint="eastAsia" w:ascii="宋体" w:hAnsi="宋体"/>
                <w:color w:val="auto"/>
                <w:sz w:val="21"/>
                <w:szCs w:val="21"/>
              </w:rPr>
              <w:t>1、各种型材的材质、规格、型号应符合设计文件的规定，表面应光滑、平整，不得变形、断裂。预埋金属线槽、过线盒、接线盒及桥架等表面涂覆或镀层应均匀、完整，不得变形、损坏。</w:t>
            </w:r>
          </w:p>
          <w:p w14:paraId="7D5B1EBA">
            <w:pPr>
              <w:widowControl/>
              <w:spacing w:line="400" w:lineRule="exact"/>
              <w:jc w:val="left"/>
              <w:rPr>
                <w:rFonts w:ascii="宋体" w:hAnsi="宋体"/>
                <w:color w:val="auto"/>
                <w:sz w:val="21"/>
                <w:szCs w:val="21"/>
              </w:rPr>
            </w:pPr>
            <w:r>
              <w:rPr>
                <w:rFonts w:hint="eastAsia" w:ascii="宋体" w:hAnsi="宋体"/>
                <w:color w:val="auto"/>
                <w:sz w:val="21"/>
                <w:szCs w:val="21"/>
              </w:rPr>
              <w:t>2、室内管材采用金属管或塑料管时，其管身应光滑、无伤痕，管孔无变形，孔径、壁厚应符合设计要求。</w:t>
            </w:r>
          </w:p>
          <w:p w14:paraId="6C2B8007">
            <w:pPr>
              <w:widowControl/>
              <w:spacing w:line="400" w:lineRule="exact"/>
              <w:jc w:val="left"/>
              <w:rPr>
                <w:rFonts w:ascii="宋体" w:hAnsi="宋体"/>
                <w:color w:val="auto"/>
                <w:sz w:val="21"/>
                <w:szCs w:val="21"/>
              </w:rPr>
            </w:pPr>
            <w:r>
              <w:rPr>
                <w:rFonts w:hint="eastAsia" w:ascii="宋体" w:hAnsi="宋体"/>
                <w:color w:val="auto"/>
                <w:sz w:val="21"/>
                <w:szCs w:val="21"/>
              </w:rPr>
              <w:t>3、金属管槽应根据工程环境要求做镀锌或其他防腐处理。塑料管槽必须采用阻燃管槽，外壁应具有阻燃标记。</w:t>
            </w:r>
          </w:p>
          <w:p w14:paraId="5B019F71">
            <w:pPr>
              <w:widowControl/>
              <w:spacing w:line="400" w:lineRule="exact"/>
              <w:jc w:val="left"/>
              <w:rPr>
                <w:rFonts w:ascii="宋体" w:hAnsi="宋体"/>
                <w:color w:val="auto"/>
                <w:sz w:val="21"/>
                <w:szCs w:val="21"/>
              </w:rPr>
            </w:pPr>
            <w:r>
              <w:rPr>
                <w:rFonts w:hint="eastAsia" w:ascii="宋体" w:hAnsi="宋体"/>
                <w:color w:val="auto"/>
                <w:sz w:val="21"/>
                <w:szCs w:val="21"/>
              </w:rPr>
              <w:t>4、室外管道应按通信管道工程验收的相关规定进行检验。</w:t>
            </w:r>
          </w:p>
          <w:p w14:paraId="279BADDC">
            <w:pPr>
              <w:widowControl/>
              <w:spacing w:line="400" w:lineRule="exact"/>
              <w:jc w:val="left"/>
              <w:rPr>
                <w:rFonts w:ascii="宋体" w:hAnsi="宋体"/>
                <w:color w:val="auto"/>
                <w:sz w:val="21"/>
                <w:szCs w:val="21"/>
              </w:rPr>
            </w:pPr>
            <w:r>
              <w:rPr>
                <w:rFonts w:hint="eastAsia" w:ascii="宋体" w:hAnsi="宋体"/>
                <w:color w:val="auto"/>
                <w:sz w:val="21"/>
                <w:szCs w:val="21"/>
              </w:rPr>
              <w:t>5、各种铁件的材质、规格均应符合相应质量标准，不得有歪斜、扭曲、飞刺、断裂或破损。</w:t>
            </w:r>
          </w:p>
          <w:p w14:paraId="3273E7EE">
            <w:pPr>
              <w:widowControl/>
              <w:spacing w:line="400" w:lineRule="exact"/>
              <w:jc w:val="left"/>
              <w:rPr>
                <w:rFonts w:ascii="宋体" w:hAnsi="宋体"/>
                <w:color w:val="auto"/>
                <w:sz w:val="21"/>
                <w:szCs w:val="21"/>
              </w:rPr>
            </w:pPr>
            <w:r>
              <w:rPr>
                <w:rFonts w:hint="eastAsia" w:ascii="宋体" w:hAnsi="宋体"/>
                <w:color w:val="auto"/>
                <w:sz w:val="21"/>
                <w:szCs w:val="21"/>
              </w:rPr>
              <w:t>6、铁件的表面处理和镀层应均匀、完整，表面光洁，无脱落、气泡等缺陷。</w:t>
            </w:r>
          </w:p>
          <w:p w14:paraId="58110625">
            <w:pPr>
              <w:widowControl/>
              <w:spacing w:line="400" w:lineRule="exact"/>
              <w:jc w:val="left"/>
              <w:rPr>
                <w:rFonts w:ascii="宋体" w:hAnsi="宋体"/>
                <w:color w:val="auto"/>
                <w:sz w:val="21"/>
                <w:szCs w:val="21"/>
              </w:rPr>
            </w:pPr>
            <w:r>
              <w:rPr>
                <w:rFonts w:hint="eastAsia" w:ascii="宋体" w:hAnsi="宋体"/>
                <w:color w:val="auto"/>
                <w:sz w:val="21"/>
                <w:szCs w:val="21"/>
              </w:rPr>
              <w:t>三、缆线的检验应符合下列要求：</w:t>
            </w:r>
          </w:p>
          <w:p w14:paraId="09DAFB9D">
            <w:pPr>
              <w:widowControl/>
              <w:spacing w:line="400" w:lineRule="exact"/>
              <w:jc w:val="left"/>
              <w:rPr>
                <w:rFonts w:ascii="宋体" w:hAnsi="宋体"/>
                <w:color w:val="auto"/>
                <w:sz w:val="21"/>
                <w:szCs w:val="21"/>
              </w:rPr>
            </w:pPr>
            <w:r>
              <w:rPr>
                <w:rFonts w:hint="eastAsia" w:ascii="宋体" w:hAnsi="宋体"/>
                <w:color w:val="auto"/>
                <w:sz w:val="21"/>
                <w:szCs w:val="21"/>
              </w:rPr>
              <w:t>1、工程使用的电缆和光缆型式、规格及缆线的防火等级应符合设计要求。</w:t>
            </w:r>
          </w:p>
          <w:p w14:paraId="7E5948E6">
            <w:pPr>
              <w:widowControl/>
              <w:spacing w:line="400" w:lineRule="exact"/>
              <w:jc w:val="left"/>
              <w:rPr>
                <w:rFonts w:ascii="宋体" w:hAnsi="宋体"/>
                <w:color w:val="auto"/>
                <w:sz w:val="21"/>
                <w:szCs w:val="21"/>
              </w:rPr>
            </w:pPr>
            <w:r>
              <w:rPr>
                <w:rFonts w:hint="eastAsia" w:ascii="宋体" w:hAnsi="宋体"/>
                <w:color w:val="auto"/>
                <w:sz w:val="21"/>
                <w:szCs w:val="21"/>
              </w:rPr>
              <w:t>2、缆线所附标志、标签内容应齐全、清晰，外包装应注明型号和规格。</w:t>
            </w:r>
          </w:p>
          <w:p w14:paraId="46650D5C">
            <w:pPr>
              <w:widowControl/>
              <w:spacing w:line="400" w:lineRule="exact"/>
              <w:jc w:val="left"/>
              <w:rPr>
                <w:rFonts w:ascii="宋体" w:hAnsi="宋体"/>
                <w:color w:val="auto"/>
                <w:sz w:val="21"/>
                <w:szCs w:val="21"/>
              </w:rPr>
            </w:pPr>
            <w:r>
              <w:rPr>
                <w:rFonts w:hint="eastAsia" w:ascii="宋体" w:hAnsi="宋体"/>
                <w:color w:val="auto"/>
                <w:sz w:val="21"/>
                <w:szCs w:val="21"/>
              </w:rPr>
              <w:t>3、缆线外包装和外护套需完整无损，当外包装损坏严重时，应测试合格后再在工程中使用。</w:t>
            </w:r>
          </w:p>
          <w:p w14:paraId="2CF106AC">
            <w:pPr>
              <w:widowControl/>
              <w:spacing w:line="400" w:lineRule="exact"/>
              <w:jc w:val="left"/>
              <w:rPr>
                <w:rFonts w:ascii="宋体" w:hAnsi="宋体"/>
                <w:color w:val="auto"/>
                <w:sz w:val="21"/>
                <w:szCs w:val="21"/>
              </w:rPr>
            </w:pPr>
            <w:r>
              <w:rPr>
                <w:rFonts w:hint="eastAsia" w:ascii="宋体" w:hAnsi="宋体"/>
                <w:color w:val="auto"/>
                <w:sz w:val="21"/>
                <w:szCs w:val="21"/>
              </w:rPr>
              <w:t>4、电缆应附有本批量的电气性能检验报告，施工前应进行链路或信道的电气性能及缆线长度的抽验，并做测试记录。</w:t>
            </w:r>
          </w:p>
          <w:p w14:paraId="1355CA47">
            <w:pPr>
              <w:widowControl/>
              <w:spacing w:line="400" w:lineRule="exact"/>
              <w:jc w:val="left"/>
              <w:rPr>
                <w:rFonts w:ascii="宋体" w:hAnsi="宋体"/>
                <w:color w:val="auto"/>
                <w:sz w:val="21"/>
                <w:szCs w:val="21"/>
              </w:rPr>
            </w:pPr>
            <w:r>
              <w:rPr>
                <w:rFonts w:hint="eastAsia" w:ascii="宋体" w:hAnsi="宋体"/>
                <w:color w:val="auto"/>
                <w:sz w:val="21"/>
                <w:szCs w:val="21"/>
              </w:rPr>
              <w:t>5、光缆开盘后应先检查光缆端头封装是否良好。光缆外包装或光缆护套如有损伤，应对该盘光缆进行光纤性能指标测试，如有断纤，应进行处理，待检查合格才允许使用。光纤检测完毕，光缆端头应密封固定，恢复外包装。</w:t>
            </w:r>
          </w:p>
          <w:p w14:paraId="57961B66">
            <w:pPr>
              <w:widowControl/>
              <w:spacing w:line="400" w:lineRule="exact"/>
              <w:jc w:val="left"/>
              <w:rPr>
                <w:rFonts w:ascii="宋体" w:hAnsi="宋体"/>
                <w:color w:val="auto"/>
                <w:sz w:val="21"/>
                <w:szCs w:val="21"/>
              </w:rPr>
            </w:pPr>
            <w:r>
              <w:rPr>
                <w:rFonts w:hint="eastAsia" w:ascii="宋体" w:hAnsi="宋体"/>
                <w:color w:val="auto"/>
                <w:sz w:val="21"/>
                <w:szCs w:val="21"/>
              </w:rPr>
              <w:t>6、光纤接插软线或光跳线检验应符合下列规定：</w:t>
            </w:r>
          </w:p>
          <w:p w14:paraId="442B5D56">
            <w:pPr>
              <w:widowControl/>
              <w:spacing w:line="400" w:lineRule="exact"/>
              <w:jc w:val="left"/>
              <w:rPr>
                <w:rFonts w:ascii="宋体" w:hAnsi="宋体"/>
                <w:color w:val="auto"/>
                <w:sz w:val="21"/>
                <w:szCs w:val="21"/>
              </w:rPr>
            </w:pPr>
            <w:r>
              <w:rPr>
                <w:rFonts w:hint="eastAsia" w:ascii="宋体" w:hAnsi="宋体"/>
                <w:color w:val="auto"/>
                <w:sz w:val="21"/>
                <w:szCs w:val="21"/>
              </w:rPr>
              <w:t>(1)两端的光纤连接器件端面应装配合适的保护盖帽。</w:t>
            </w:r>
          </w:p>
          <w:p w14:paraId="3A5FF4A3">
            <w:pPr>
              <w:widowControl/>
              <w:spacing w:line="400" w:lineRule="exact"/>
              <w:jc w:val="left"/>
              <w:rPr>
                <w:rFonts w:ascii="宋体" w:hAnsi="宋体"/>
                <w:color w:val="auto"/>
                <w:sz w:val="21"/>
                <w:szCs w:val="21"/>
              </w:rPr>
            </w:pPr>
            <w:r>
              <w:rPr>
                <w:rFonts w:hint="eastAsia" w:ascii="宋体" w:hAnsi="宋体"/>
                <w:color w:val="auto"/>
                <w:sz w:val="21"/>
                <w:szCs w:val="21"/>
              </w:rPr>
              <w:t>(2)光纤类型应符合设计要求，并应有明显的标记。</w:t>
            </w:r>
          </w:p>
          <w:p w14:paraId="55995ED0">
            <w:pPr>
              <w:widowControl/>
              <w:spacing w:line="400" w:lineRule="exact"/>
              <w:jc w:val="left"/>
              <w:rPr>
                <w:rFonts w:ascii="宋体" w:hAnsi="宋体"/>
                <w:color w:val="auto"/>
                <w:sz w:val="21"/>
                <w:szCs w:val="21"/>
              </w:rPr>
            </w:pPr>
            <w:r>
              <w:rPr>
                <w:rFonts w:hint="eastAsia" w:ascii="宋体" w:hAnsi="宋体"/>
                <w:color w:val="auto"/>
                <w:sz w:val="21"/>
                <w:szCs w:val="21"/>
              </w:rPr>
              <w:t>四、连接器件的检验应符合下列要求：</w:t>
            </w:r>
          </w:p>
          <w:p w14:paraId="07BEE377">
            <w:pPr>
              <w:widowControl/>
              <w:spacing w:line="400" w:lineRule="exact"/>
              <w:jc w:val="left"/>
              <w:rPr>
                <w:rFonts w:ascii="宋体" w:hAnsi="宋体"/>
                <w:color w:val="auto"/>
                <w:sz w:val="21"/>
                <w:szCs w:val="21"/>
              </w:rPr>
            </w:pPr>
            <w:r>
              <w:rPr>
                <w:rFonts w:hint="eastAsia" w:ascii="宋体" w:hAnsi="宋体"/>
                <w:color w:val="auto"/>
                <w:sz w:val="21"/>
                <w:szCs w:val="21"/>
              </w:rPr>
              <w:t>1、配线模块、信息插座模块及其他连接器件的部件应完整，电气和机械性能等指标符合相应产品生产的质量标准。塑料材质应具有阻燃性能，并应满足设计要求。</w:t>
            </w:r>
          </w:p>
          <w:p w14:paraId="2FD55DDA">
            <w:pPr>
              <w:widowControl/>
              <w:spacing w:line="400" w:lineRule="exact"/>
              <w:jc w:val="left"/>
              <w:rPr>
                <w:rFonts w:ascii="宋体" w:hAnsi="宋体"/>
                <w:color w:val="auto"/>
                <w:sz w:val="21"/>
                <w:szCs w:val="21"/>
              </w:rPr>
            </w:pPr>
            <w:r>
              <w:rPr>
                <w:rFonts w:hint="eastAsia" w:ascii="宋体" w:hAnsi="宋体"/>
                <w:color w:val="auto"/>
                <w:sz w:val="21"/>
                <w:szCs w:val="21"/>
              </w:rPr>
              <w:t>2、信号线路浪涌保护器各项指标应符合有关规定。</w:t>
            </w:r>
          </w:p>
          <w:p w14:paraId="2A6DC300">
            <w:pPr>
              <w:widowControl/>
              <w:spacing w:line="400" w:lineRule="exact"/>
              <w:jc w:val="left"/>
              <w:rPr>
                <w:rFonts w:ascii="宋体" w:hAnsi="宋体"/>
                <w:color w:val="auto"/>
                <w:sz w:val="21"/>
                <w:szCs w:val="21"/>
              </w:rPr>
            </w:pPr>
            <w:r>
              <w:rPr>
                <w:rFonts w:hint="eastAsia" w:ascii="宋体" w:hAnsi="宋体"/>
                <w:color w:val="auto"/>
                <w:sz w:val="21"/>
                <w:szCs w:val="21"/>
              </w:rPr>
              <w:t>3、光纤连接器件及适配器使用型式和数量、位置应与设计相符。</w:t>
            </w:r>
          </w:p>
          <w:p w14:paraId="17E9ED28">
            <w:pPr>
              <w:widowControl/>
              <w:spacing w:line="400" w:lineRule="exact"/>
              <w:jc w:val="left"/>
              <w:rPr>
                <w:rFonts w:ascii="宋体" w:hAnsi="宋体"/>
                <w:color w:val="auto"/>
                <w:sz w:val="21"/>
                <w:szCs w:val="21"/>
              </w:rPr>
            </w:pPr>
            <w:r>
              <w:rPr>
                <w:rFonts w:hint="eastAsia" w:ascii="宋体" w:hAnsi="宋体"/>
                <w:color w:val="auto"/>
                <w:sz w:val="21"/>
                <w:szCs w:val="21"/>
              </w:rPr>
              <w:t>五、配线设备的使用应符合下列规定：</w:t>
            </w:r>
          </w:p>
          <w:p w14:paraId="58FECAA0">
            <w:pPr>
              <w:widowControl/>
              <w:spacing w:line="400" w:lineRule="exact"/>
              <w:jc w:val="left"/>
              <w:rPr>
                <w:rFonts w:ascii="宋体" w:hAnsi="宋体"/>
                <w:color w:val="auto"/>
                <w:sz w:val="21"/>
                <w:szCs w:val="21"/>
              </w:rPr>
            </w:pPr>
            <w:r>
              <w:rPr>
                <w:rFonts w:hint="eastAsia" w:ascii="宋体" w:hAnsi="宋体"/>
                <w:color w:val="auto"/>
                <w:sz w:val="21"/>
                <w:szCs w:val="21"/>
              </w:rPr>
              <w:t>1、光、电缆配线设备的型式、规格应符合设计要求。</w:t>
            </w:r>
          </w:p>
          <w:p w14:paraId="199386D7">
            <w:pPr>
              <w:widowControl/>
              <w:spacing w:line="400" w:lineRule="exact"/>
              <w:jc w:val="left"/>
              <w:rPr>
                <w:rFonts w:ascii="宋体" w:hAnsi="宋体"/>
                <w:color w:val="auto"/>
                <w:sz w:val="21"/>
                <w:szCs w:val="21"/>
              </w:rPr>
            </w:pPr>
            <w:r>
              <w:rPr>
                <w:rFonts w:hint="eastAsia" w:ascii="宋体" w:hAnsi="宋体"/>
                <w:color w:val="auto"/>
                <w:sz w:val="21"/>
                <w:szCs w:val="21"/>
              </w:rPr>
              <w:t>2、光、电缆配线设备的编排及标志名称应与设计相符。各类标志名称应统一，标志位置正确、清晰。</w:t>
            </w:r>
          </w:p>
          <w:p w14:paraId="2C57B16E">
            <w:pPr>
              <w:widowControl/>
              <w:spacing w:line="400" w:lineRule="exact"/>
              <w:jc w:val="left"/>
              <w:rPr>
                <w:rFonts w:ascii="宋体" w:hAnsi="宋体"/>
                <w:color w:val="auto"/>
                <w:sz w:val="21"/>
                <w:szCs w:val="21"/>
              </w:rPr>
            </w:pPr>
            <w:r>
              <w:rPr>
                <w:rFonts w:hint="eastAsia" w:ascii="宋体" w:hAnsi="宋体"/>
                <w:color w:val="auto"/>
                <w:sz w:val="21"/>
                <w:szCs w:val="21"/>
              </w:rPr>
              <w:t>六、测试仪表和工具的检验应符合下列要求：</w:t>
            </w:r>
          </w:p>
          <w:p w14:paraId="4415F093">
            <w:pPr>
              <w:widowControl/>
              <w:spacing w:line="400" w:lineRule="exact"/>
              <w:jc w:val="left"/>
              <w:rPr>
                <w:rFonts w:ascii="宋体" w:hAnsi="宋体"/>
                <w:color w:val="auto"/>
                <w:sz w:val="21"/>
                <w:szCs w:val="21"/>
              </w:rPr>
            </w:pPr>
            <w:r>
              <w:rPr>
                <w:rFonts w:hint="eastAsia" w:ascii="宋体" w:hAnsi="宋体"/>
                <w:color w:val="auto"/>
                <w:sz w:val="21"/>
                <w:szCs w:val="21"/>
              </w:rPr>
              <w:t>1、应事先对工程中需要使用的仪表和工具进行测试或检查，缆线测试仪表应附有相应检测机构的证明文件。</w:t>
            </w:r>
          </w:p>
          <w:p w14:paraId="1539E240">
            <w:pPr>
              <w:widowControl/>
              <w:spacing w:line="400" w:lineRule="exact"/>
              <w:jc w:val="left"/>
              <w:rPr>
                <w:rFonts w:ascii="宋体" w:hAnsi="宋体"/>
                <w:color w:val="auto"/>
                <w:sz w:val="21"/>
                <w:szCs w:val="21"/>
              </w:rPr>
            </w:pPr>
            <w:r>
              <w:rPr>
                <w:rFonts w:hint="eastAsia" w:ascii="宋体" w:hAnsi="宋体"/>
                <w:color w:val="auto"/>
                <w:sz w:val="21"/>
                <w:szCs w:val="21"/>
              </w:rPr>
              <w:t>2、综合布线系统的测试仪表应能测试相应类别工程的各种电气性能及传输特性，其精度符合相应要求。测试仪表的精度应按相应的鉴定规程和校准方法进行定期检查和校准，经过相应计量部门校验取得合格证后，方可在有效期内使用。</w:t>
            </w:r>
          </w:p>
          <w:p w14:paraId="35FB2E2C">
            <w:pPr>
              <w:widowControl/>
              <w:spacing w:line="400" w:lineRule="exact"/>
              <w:jc w:val="left"/>
              <w:rPr>
                <w:rFonts w:ascii="宋体" w:hAnsi="宋体"/>
                <w:color w:val="auto"/>
                <w:sz w:val="21"/>
                <w:szCs w:val="21"/>
              </w:rPr>
            </w:pPr>
            <w:r>
              <w:rPr>
                <w:rFonts w:hint="eastAsia" w:ascii="宋体" w:hAnsi="宋体"/>
                <w:color w:val="auto"/>
                <w:sz w:val="21"/>
                <w:szCs w:val="21"/>
              </w:rPr>
              <w:t>3、施工工具，如电缆或光缆的接续工具：剥线器、光缆切断器、光纤熔接机、光纤磨光机、卡接工具等必须进行检查，合格后方可在工程中使用。</w:t>
            </w:r>
          </w:p>
          <w:p w14:paraId="271570E4">
            <w:pPr>
              <w:widowControl/>
              <w:spacing w:line="400" w:lineRule="exact"/>
              <w:jc w:val="left"/>
              <w:rPr>
                <w:rFonts w:ascii="宋体" w:hAnsi="宋体"/>
                <w:color w:val="auto"/>
                <w:sz w:val="21"/>
                <w:szCs w:val="21"/>
              </w:rPr>
            </w:pPr>
            <w:r>
              <w:rPr>
                <w:rFonts w:hint="eastAsia" w:ascii="宋体" w:hAnsi="宋体"/>
                <w:color w:val="auto"/>
                <w:sz w:val="21"/>
                <w:szCs w:val="21"/>
              </w:rPr>
              <w:t>七、工程实施质量要求和验收标准</w:t>
            </w:r>
          </w:p>
          <w:p w14:paraId="78B04134">
            <w:pPr>
              <w:widowControl/>
              <w:spacing w:line="400" w:lineRule="exact"/>
              <w:jc w:val="left"/>
              <w:rPr>
                <w:rFonts w:ascii="宋体" w:hAnsi="宋体"/>
                <w:color w:val="auto"/>
                <w:sz w:val="21"/>
                <w:szCs w:val="21"/>
              </w:rPr>
            </w:pPr>
            <w:r>
              <w:rPr>
                <w:rFonts w:hint="eastAsia" w:ascii="宋体" w:hAnsi="宋体"/>
                <w:color w:val="auto"/>
                <w:sz w:val="21"/>
                <w:szCs w:val="21"/>
              </w:rPr>
              <w:t>1、PVC线槽安装质量要求：</w:t>
            </w:r>
          </w:p>
          <w:p w14:paraId="216DF1A3">
            <w:pPr>
              <w:widowControl/>
              <w:spacing w:line="400" w:lineRule="exact"/>
              <w:jc w:val="left"/>
              <w:rPr>
                <w:rFonts w:ascii="宋体" w:hAnsi="宋体"/>
                <w:color w:val="auto"/>
                <w:sz w:val="21"/>
                <w:szCs w:val="21"/>
              </w:rPr>
            </w:pPr>
            <w:r>
              <w:rPr>
                <w:rFonts w:hint="eastAsia" w:ascii="宋体" w:hAnsi="宋体"/>
                <w:color w:val="auto"/>
                <w:sz w:val="21"/>
                <w:szCs w:val="21"/>
              </w:rPr>
              <w:t>（1）安装位置应符合施工规定。</w:t>
            </w:r>
          </w:p>
          <w:p w14:paraId="4F82F3D6">
            <w:pPr>
              <w:widowControl/>
              <w:spacing w:line="400" w:lineRule="exact"/>
              <w:jc w:val="left"/>
              <w:rPr>
                <w:rFonts w:ascii="宋体" w:hAnsi="宋体"/>
                <w:color w:val="auto"/>
                <w:sz w:val="21"/>
                <w:szCs w:val="21"/>
              </w:rPr>
            </w:pPr>
            <w:r>
              <w:rPr>
                <w:rFonts w:hint="eastAsia" w:ascii="宋体" w:hAnsi="宋体"/>
                <w:color w:val="auto"/>
                <w:sz w:val="21"/>
                <w:szCs w:val="21"/>
              </w:rPr>
              <w:t>（2）线槽截断处应平滑、无毛刺。</w:t>
            </w:r>
          </w:p>
          <w:p w14:paraId="0ECFFE25">
            <w:pPr>
              <w:widowControl/>
              <w:spacing w:line="400" w:lineRule="exact"/>
              <w:jc w:val="left"/>
              <w:rPr>
                <w:rFonts w:ascii="宋体" w:hAnsi="宋体"/>
                <w:color w:val="auto"/>
                <w:sz w:val="21"/>
                <w:szCs w:val="21"/>
              </w:rPr>
            </w:pPr>
            <w:r>
              <w:rPr>
                <w:rFonts w:hint="eastAsia" w:ascii="宋体" w:hAnsi="宋体"/>
                <w:color w:val="auto"/>
                <w:sz w:val="21"/>
                <w:szCs w:val="21"/>
              </w:rPr>
              <w:t>（3）线槽连接紧密，固定应牢靠，横平竖直无倾斜。</w:t>
            </w:r>
          </w:p>
          <w:p w14:paraId="48E91491">
            <w:pPr>
              <w:widowControl/>
              <w:spacing w:line="400" w:lineRule="exact"/>
              <w:jc w:val="left"/>
              <w:rPr>
                <w:rFonts w:ascii="宋体" w:hAnsi="宋体"/>
                <w:color w:val="auto"/>
                <w:sz w:val="21"/>
                <w:szCs w:val="21"/>
              </w:rPr>
            </w:pPr>
            <w:r>
              <w:rPr>
                <w:rFonts w:hint="eastAsia" w:ascii="宋体" w:hAnsi="宋体"/>
                <w:color w:val="auto"/>
                <w:sz w:val="21"/>
                <w:szCs w:val="21"/>
              </w:rPr>
              <w:t>（4）线槽固定点间距小于1M.。</w:t>
            </w:r>
          </w:p>
          <w:p w14:paraId="1B6B09AD">
            <w:pPr>
              <w:widowControl/>
              <w:spacing w:line="400" w:lineRule="exact"/>
              <w:jc w:val="left"/>
              <w:rPr>
                <w:rFonts w:ascii="宋体" w:hAnsi="宋体"/>
                <w:color w:val="auto"/>
                <w:sz w:val="21"/>
                <w:szCs w:val="21"/>
              </w:rPr>
            </w:pPr>
            <w:r>
              <w:rPr>
                <w:rFonts w:hint="eastAsia" w:ascii="宋体" w:hAnsi="宋体"/>
                <w:color w:val="auto"/>
                <w:sz w:val="21"/>
                <w:szCs w:val="21"/>
              </w:rPr>
              <w:t>（5）线槽盖装后应平整，无露线，表面无明显污迹。</w:t>
            </w:r>
          </w:p>
          <w:p w14:paraId="3F04BB7D">
            <w:pPr>
              <w:widowControl/>
              <w:spacing w:line="400" w:lineRule="exact"/>
              <w:jc w:val="left"/>
              <w:rPr>
                <w:rFonts w:ascii="宋体" w:hAnsi="宋体"/>
                <w:color w:val="auto"/>
                <w:sz w:val="21"/>
                <w:szCs w:val="21"/>
              </w:rPr>
            </w:pPr>
            <w:r>
              <w:rPr>
                <w:rFonts w:hint="eastAsia" w:ascii="宋体" w:hAnsi="宋体"/>
                <w:color w:val="auto"/>
                <w:sz w:val="21"/>
                <w:szCs w:val="21"/>
              </w:rPr>
              <w:t>2、金属管、PVC管安装质量要求：</w:t>
            </w:r>
          </w:p>
          <w:p w14:paraId="6451E7D5">
            <w:pPr>
              <w:widowControl/>
              <w:spacing w:line="400" w:lineRule="exact"/>
              <w:jc w:val="left"/>
              <w:rPr>
                <w:rFonts w:ascii="宋体" w:hAnsi="宋体"/>
                <w:color w:val="auto"/>
                <w:sz w:val="21"/>
                <w:szCs w:val="21"/>
              </w:rPr>
            </w:pPr>
            <w:r>
              <w:rPr>
                <w:rFonts w:hint="eastAsia" w:ascii="宋体" w:hAnsi="宋体"/>
                <w:color w:val="auto"/>
                <w:sz w:val="21"/>
                <w:szCs w:val="21"/>
              </w:rPr>
              <w:t>明敷</w:t>
            </w:r>
          </w:p>
          <w:p w14:paraId="263CE5F7">
            <w:pPr>
              <w:widowControl/>
              <w:spacing w:line="400" w:lineRule="exact"/>
              <w:jc w:val="left"/>
              <w:rPr>
                <w:rFonts w:ascii="宋体" w:hAnsi="宋体"/>
                <w:color w:val="auto"/>
                <w:sz w:val="21"/>
                <w:szCs w:val="21"/>
              </w:rPr>
            </w:pPr>
            <w:r>
              <w:rPr>
                <w:rFonts w:hint="eastAsia" w:ascii="宋体" w:hAnsi="宋体"/>
                <w:color w:val="auto"/>
                <w:sz w:val="21"/>
                <w:szCs w:val="21"/>
              </w:rPr>
              <w:t>（1）安装位置应符合施工规定。</w:t>
            </w:r>
          </w:p>
          <w:p w14:paraId="5A74825E">
            <w:pPr>
              <w:widowControl/>
              <w:spacing w:line="400" w:lineRule="exact"/>
              <w:jc w:val="left"/>
              <w:rPr>
                <w:rFonts w:ascii="宋体" w:hAnsi="宋体"/>
                <w:color w:val="auto"/>
                <w:sz w:val="21"/>
                <w:szCs w:val="21"/>
              </w:rPr>
            </w:pPr>
            <w:r>
              <w:rPr>
                <w:rFonts w:hint="eastAsia" w:ascii="宋体" w:hAnsi="宋体"/>
                <w:color w:val="auto"/>
                <w:sz w:val="21"/>
                <w:szCs w:val="21"/>
              </w:rPr>
              <w:t>（2）管材间连接紧密，衔接处应加连接件（直通、三通、弯头）</w:t>
            </w:r>
          </w:p>
          <w:p w14:paraId="356F544B">
            <w:pPr>
              <w:widowControl/>
              <w:spacing w:line="400" w:lineRule="exact"/>
              <w:jc w:val="left"/>
              <w:rPr>
                <w:rFonts w:ascii="宋体" w:hAnsi="宋体"/>
                <w:color w:val="auto"/>
                <w:sz w:val="21"/>
                <w:szCs w:val="21"/>
              </w:rPr>
            </w:pPr>
            <w:r>
              <w:rPr>
                <w:rFonts w:hint="eastAsia" w:ascii="宋体" w:hAnsi="宋体"/>
                <w:color w:val="auto"/>
                <w:sz w:val="21"/>
                <w:szCs w:val="21"/>
              </w:rPr>
              <w:t>（3）管材布放应横平竖直无倾斜，固定应牢靠。</w:t>
            </w:r>
          </w:p>
          <w:p w14:paraId="3C9FF585">
            <w:pPr>
              <w:widowControl/>
              <w:spacing w:line="400" w:lineRule="exact"/>
              <w:jc w:val="left"/>
              <w:rPr>
                <w:rFonts w:ascii="宋体" w:hAnsi="宋体"/>
                <w:color w:val="auto"/>
                <w:sz w:val="21"/>
                <w:szCs w:val="21"/>
              </w:rPr>
            </w:pPr>
            <w:r>
              <w:rPr>
                <w:rFonts w:hint="eastAsia" w:ascii="宋体" w:hAnsi="宋体"/>
                <w:color w:val="auto"/>
                <w:sz w:val="21"/>
                <w:szCs w:val="21"/>
              </w:rPr>
              <w:t>（4）PVC管沿墙明敷应用管卡固定，固定间距均匀并符合下表要求。</w:t>
            </w:r>
          </w:p>
          <w:tbl>
            <w:tblPr>
              <w:tblStyle w:val="15"/>
              <w:tblpPr w:leftFromText="180" w:rightFromText="180" w:vertAnchor="text" w:horzAnchor="page" w:tblpX="114" w:tblpY="3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252"/>
              <w:gridCol w:w="1276"/>
              <w:gridCol w:w="1017"/>
              <w:gridCol w:w="876"/>
              <w:gridCol w:w="1062"/>
              <w:gridCol w:w="1270"/>
            </w:tblGrid>
            <w:tr w14:paraId="380B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50" w:type="pct"/>
                  <w:vMerge w:val="restart"/>
                </w:tcPr>
                <w:p w14:paraId="546E2762">
                  <w:pPr>
                    <w:spacing w:line="400" w:lineRule="exact"/>
                    <w:jc w:val="center"/>
                    <w:rPr>
                      <w:rFonts w:ascii="宋体" w:hAnsi="宋体"/>
                      <w:color w:val="auto"/>
                      <w:sz w:val="21"/>
                      <w:szCs w:val="21"/>
                    </w:rPr>
                  </w:pPr>
                </w:p>
                <w:p w14:paraId="29A656CE">
                  <w:pPr>
                    <w:spacing w:line="400" w:lineRule="exact"/>
                    <w:jc w:val="center"/>
                    <w:rPr>
                      <w:rFonts w:ascii="宋体" w:hAnsi="宋体"/>
                      <w:color w:val="auto"/>
                      <w:sz w:val="21"/>
                      <w:szCs w:val="21"/>
                    </w:rPr>
                  </w:pPr>
                  <w:r>
                    <w:rPr>
                      <w:rFonts w:hint="eastAsia" w:ascii="宋体" w:hAnsi="宋体"/>
                      <w:color w:val="auto"/>
                      <w:sz w:val="21"/>
                      <w:szCs w:val="21"/>
                    </w:rPr>
                    <w:t>敷设方式</w:t>
                  </w:r>
                </w:p>
              </w:tc>
              <w:tc>
                <w:tcPr>
                  <w:tcW w:w="1147" w:type="pct"/>
                  <w:vMerge w:val="restart"/>
                </w:tcPr>
                <w:p w14:paraId="393F17FD">
                  <w:pPr>
                    <w:spacing w:line="400" w:lineRule="exact"/>
                    <w:ind w:firstLine="105" w:firstLineChars="50"/>
                    <w:rPr>
                      <w:rFonts w:ascii="宋体" w:hAnsi="宋体"/>
                      <w:color w:val="auto"/>
                      <w:sz w:val="21"/>
                      <w:szCs w:val="21"/>
                    </w:rPr>
                  </w:pPr>
                </w:p>
                <w:p w14:paraId="2362609E">
                  <w:pPr>
                    <w:spacing w:line="400" w:lineRule="exact"/>
                    <w:ind w:firstLine="105" w:firstLineChars="50"/>
                    <w:rPr>
                      <w:rFonts w:ascii="宋体" w:hAnsi="宋体"/>
                      <w:color w:val="auto"/>
                      <w:sz w:val="21"/>
                      <w:szCs w:val="21"/>
                    </w:rPr>
                  </w:pPr>
                  <w:r>
                    <w:rPr>
                      <w:rFonts w:hint="eastAsia" w:ascii="宋体" w:hAnsi="宋体"/>
                      <w:color w:val="auto"/>
                      <w:sz w:val="21"/>
                      <w:szCs w:val="21"/>
                    </w:rPr>
                    <w:t>导管种类</w:t>
                  </w:r>
                </w:p>
              </w:tc>
              <w:tc>
                <w:tcPr>
                  <w:tcW w:w="2802" w:type="pct"/>
                  <w:gridSpan w:val="5"/>
                </w:tcPr>
                <w:p w14:paraId="5AE62777">
                  <w:pPr>
                    <w:spacing w:line="400" w:lineRule="exact"/>
                    <w:ind w:firstLine="1890" w:firstLineChars="900"/>
                    <w:rPr>
                      <w:rFonts w:ascii="宋体" w:hAnsi="宋体"/>
                      <w:color w:val="auto"/>
                      <w:sz w:val="21"/>
                      <w:szCs w:val="21"/>
                    </w:rPr>
                  </w:pPr>
                  <w:r>
                    <w:rPr>
                      <w:rFonts w:hint="eastAsia" w:ascii="宋体" w:hAnsi="宋体"/>
                      <w:color w:val="auto"/>
                      <w:sz w:val="21"/>
                      <w:szCs w:val="21"/>
                    </w:rPr>
                    <w:t>导管直径(MM)</w:t>
                  </w:r>
                </w:p>
              </w:tc>
            </w:tr>
            <w:tr w14:paraId="690F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50" w:type="pct"/>
                  <w:vMerge w:val="continue"/>
                </w:tcPr>
                <w:p w14:paraId="58734F3D">
                  <w:pPr>
                    <w:spacing w:line="400" w:lineRule="exact"/>
                    <w:rPr>
                      <w:rFonts w:ascii="宋体" w:hAnsi="宋体"/>
                      <w:color w:val="auto"/>
                      <w:sz w:val="21"/>
                      <w:szCs w:val="21"/>
                    </w:rPr>
                  </w:pPr>
                </w:p>
              </w:tc>
              <w:tc>
                <w:tcPr>
                  <w:tcW w:w="1147" w:type="pct"/>
                  <w:vMerge w:val="continue"/>
                </w:tcPr>
                <w:p w14:paraId="45A67379">
                  <w:pPr>
                    <w:spacing w:line="400" w:lineRule="exact"/>
                    <w:rPr>
                      <w:rFonts w:ascii="宋体" w:hAnsi="宋体"/>
                      <w:color w:val="auto"/>
                      <w:sz w:val="21"/>
                      <w:szCs w:val="21"/>
                    </w:rPr>
                  </w:pPr>
                </w:p>
              </w:tc>
              <w:tc>
                <w:tcPr>
                  <w:tcW w:w="650" w:type="pct"/>
                </w:tcPr>
                <w:p w14:paraId="42135672">
                  <w:pPr>
                    <w:spacing w:line="400" w:lineRule="exact"/>
                    <w:rPr>
                      <w:rFonts w:ascii="宋体" w:hAnsi="宋体"/>
                      <w:color w:val="auto"/>
                      <w:sz w:val="21"/>
                      <w:szCs w:val="21"/>
                    </w:rPr>
                  </w:pPr>
                  <w:r>
                    <w:rPr>
                      <w:rFonts w:hint="eastAsia" w:ascii="宋体" w:hAnsi="宋体"/>
                      <w:color w:val="auto"/>
                      <w:sz w:val="21"/>
                      <w:szCs w:val="21"/>
                    </w:rPr>
                    <w:t>15~20</w:t>
                  </w:r>
                </w:p>
              </w:tc>
              <w:tc>
                <w:tcPr>
                  <w:tcW w:w="518" w:type="pct"/>
                </w:tcPr>
                <w:p w14:paraId="5798E79A">
                  <w:pPr>
                    <w:spacing w:line="400" w:lineRule="exact"/>
                    <w:rPr>
                      <w:rFonts w:ascii="宋体" w:hAnsi="宋体"/>
                      <w:color w:val="auto"/>
                      <w:sz w:val="21"/>
                      <w:szCs w:val="21"/>
                    </w:rPr>
                  </w:pPr>
                  <w:r>
                    <w:rPr>
                      <w:rFonts w:hint="eastAsia" w:ascii="宋体" w:hAnsi="宋体"/>
                      <w:color w:val="auto"/>
                      <w:sz w:val="21"/>
                      <w:szCs w:val="21"/>
                    </w:rPr>
                    <w:t>25~32</w:t>
                  </w:r>
                </w:p>
              </w:tc>
              <w:tc>
                <w:tcPr>
                  <w:tcW w:w="446" w:type="pct"/>
                </w:tcPr>
                <w:p w14:paraId="30B2A9E7">
                  <w:pPr>
                    <w:spacing w:line="400" w:lineRule="exact"/>
                    <w:rPr>
                      <w:rFonts w:ascii="宋体" w:hAnsi="宋体"/>
                      <w:color w:val="auto"/>
                      <w:sz w:val="21"/>
                      <w:szCs w:val="21"/>
                    </w:rPr>
                  </w:pPr>
                  <w:r>
                    <w:rPr>
                      <w:rFonts w:hint="eastAsia" w:ascii="宋体" w:hAnsi="宋体"/>
                      <w:color w:val="auto"/>
                      <w:sz w:val="21"/>
                      <w:szCs w:val="21"/>
                    </w:rPr>
                    <w:t>32~40</w:t>
                  </w:r>
                </w:p>
              </w:tc>
              <w:tc>
                <w:tcPr>
                  <w:tcW w:w="541" w:type="pct"/>
                </w:tcPr>
                <w:p w14:paraId="58A9EF23">
                  <w:pPr>
                    <w:spacing w:line="400" w:lineRule="exact"/>
                    <w:rPr>
                      <w:rFonts w:ascii="宋体" w:hAnsi="宋体"/>
                      <w:color w:val="auto"/>
                      <w:sz w:val="21"/>
                      <w:szCs w:val="21"/>
                    </w:rPr>
                  </w:pPr>
                  <w:r>
                    <w:rPr>
                      <w:rFonts w:hint="eastAsia" w:ascii="宋体" w:hAnsi="宋体"/>
                      <w:color w:val="auto"/>
                      <w:sz w:val="21"/>
                      <w:szCs w:val="21"/>
                    </w:rPr>
                    <w:t>50~65</w:t>
                  </w:r>
                </w:p>
              </w:tc>
              <w:tc>
                <w:tcPr>
                  <w:tcW w:w="646" w:type="pct"/>
                </w:tcPr>
                <w:p w14:paraId="5BE7C51A">
                  <w:pPr>
                    <w:spacing w:line="400" w:lineRule="exact"/>
                    <w:rPr>
                      <w:rFonts w:ascii="宋体" w:hAnsi="宋体"/>
                      <w:color w:val="auto"/>
                      <w:sz w:val="21"/>
                      <w:szCs w:val="21"/>
                    </w:rPr>
                  </w:pPr>
                  <w:r>
                    <w:rPr>
                      <w:rFonts w:hint="eastAsia" w:ascii="宋体" w:hAnsi="宋体"/>
                      <w:color w:val="auto"/>
                      <w:sz w:val="21"/>
                      <w:szCs w:val="21"/>
                    </w:rPr>
                    <w:t>65以上</w:t>
                  </w:r>
                </w:p>
              </w:tc>
            </w:tr>
            <w:tr w14:paraId="41C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0" w:type="pct"/>
                  <w:vMerge w:val="continue"/>
                </w:tcPr>
                <w:p w14:paraId="4170E3DB">
                  <w:pPr>
                    <w:spacing w:line="400" w:lineRule="exact"/>
                    <w:rPr>
                      <w:rFonts w:ascii="宋体" w:hAnsi="宋体"/>
                      <w:color w:val="auto"/>
                      <w:sz w:val="21"/>
                      <w:szCs w:val="21"/>
                    </w:rPr>
                  </w:pPr>
                </w:p>
              </w:tc>
              <w:tc>
                <w:tcPr>
                  <w:tcW w:w="1147" w:type="pct"/>
                  <w:vMerge w:val="continue"/>
                </w:tcPr>
                <w:p w14:paraId="0B94C153">
                  <w:pPr>
                    <w:spacing w:line="400" w:lineRule="exact"/>
                    <w:rPr>
                      <w:rFonts w:ascii="宋体" w:hAnsi="宋体"/>
                      <w:color w:val="auto"/>
                      <w:sz w:val="21"/>
                      <w:szCs w:val="21"/>
                    </w:rPr>
                  </w:pPr>
                </w:p>
              </w:tc>
              <w:tc>
                <w:tcPr>
                  <w:tcW w:w="2802" w:type="pct"/>
                  <w:gridSpan w:val="5"/>
                </w:tcPr>
                <w:p w14:paraId="0D5C403C">
                  <w:pPr>
                    <w:spacing w:line="400" w:lineRule="exact"/>
                    <w:ind w:firstLine="1680" w:firstLineChars="800"/>
                    <w:rPr>
                      <w:rFonts w:ascii="宋体" w:hAnsi="宋体"/>
                      <w:color w:val="auto"/>
                      <w:sz w:val="21"/>
                      <w:szCs w:val="21"/>
                    </w:rPr>
                  </w:pPr>
                  <w:r>
                    <w:rPr>
                      <w:rFonts w:hint="eastAsia" w:ascii="宋体" w:hAnsi="宋体"/>
                      <w:color w:val="auto"/>
                      <w:sz w:val="21"/>
                      <w:szCs w:val="21"/>
                    </w:rPr>
                    <w:t>管卡间最大距离(M)</w:t>
                  </w:r>
                </w:p>
              </w:tc>
            </w:tr>
            <w:tr w14:paraId="3D6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0" w:type="pct"/>
                  <w:vMerge w:val="restart"/>
                </w:tcPr>
                <w:p w14:paraId="4BEC4738">
                  <w:pPr>
                    <w:spacing w:line="400" w:lineRule="exact"/>
                    <w:rPr>
                      <w:rFonts w:ascii="宋体" w:hAnsi="宋体"/>
                      <w:color w:val="auto"/>
                      <w:sz w:val="21"/>
                      <w:szCs w:val="21"/>
                    </w:rPr>
                  </w:pPr>
                </w:p>
                <w:p w14:paraId="06F9ECF0">
                  <w:pPr>
                    <w:spacing w:line="400" w:lineRule="exact"/>
                    <w:rPr>
                      <w:rFonts w:ascii="宋体" w:hAnsi="宋体"/>
                      <w:color w:val="auto"/>
                      <w:sz w:val="21"/>
                      <w:szCs w:val="21"/>
                    </w:rPr>
                  </w:pPr>
                  <w:r>
                    <w:rPr>
                      <w:rFonts w:hint="eastAsia" w:ascii="宋体" w:hAnsi="宋体"/>
                      <w:color w:val="auto"/>
                      <w:sz w:val="21"/>
                      <w:szCs w:val="21"/>
                    </w:rPr>
                    <w:t>支架或沿墙明敷</w:t>
                  </w:r>
                </w:p>
              </w:tc>
              <w:tc>
                <w:tcPr>
                  <w:tcW w:w="1147" w:type="pct"/>
                </w:tcPr>
                <w:p w14:paraId="504752FE">
                  <w:pPr>
                    <w:spacing w:line="400" w:lineRule="exact"/>
                    <w:rPr>
                      <w:rFonts w:ascii="宋体" w:hAnsi="宋体"/>
                      <w:color w:val="auto"/>
                      <w:sz w:val="21"/>
                      <w:szCs w:val="21"/>
                    </w:rPr>
                  </w:pPr>
                  <w:r>
                    <w:rPr>
                      <w:rFonts w:hint="eastAsia" w:ascii="宋体" w:hAnsi="宋体"/>
                      <w:color w:val="auto"/>
                      <w:sz w:val="21"/>
                      <w:szCs w:val="21"/>
                    </w:rPr>
                    <w:t>壁厚&gt;2MM金属管</w:t>
                  </w:r>
                </w:p>
              </w:tc>
              <w:tc>
                <w:tcPr>
                  <w:tcW w:w="650" w:type="pct"/>
                </w:tcPr>
                <w:p w14:paraId="1740AB3C">
                  <w:pPr>
                    <w:spacing w:line="400" w:lineRule="exact"/>
                    <w:rPr>
                      <w:rFonts w:ascii="宋体" w:hAnsi="宋体"/>
                      <w:color w:val="auto"/>
                      <w:sz w:val="21"/>
                      <w:szCs w:val="21"/>
                    </w:rPr>
                  </w:pPr>
                  <w:r>
                    <w:rPr>
                      <w:rFonts w:hint="eastAsia" w:ascii="宋体" w:hAnsi="宋体"/>
                      <w:color w:val="auto"/>
                      <w:sz w:val="21"/>
                      <w:szCs w:val="21"/>
                    </w:rPr>
                    <w:t>1.5</w:t>
                  </w:r>
                </w:p>
              </w:tc>
              <w:tc>
                <w:tcPr>
                  <w:tcW w:w="518" w:type="pct"/>
                </w:tcPr>
                <w:p w14:paraId="199F3469">
                  <w:pPr>
                    <w:spacing w:line="400" w:lineRule="exact"/>
                    <w:rPr>
                      <w:rFonts w:ascii="宋体" w:hAnsi="宋体"/>
                      <w:color w:val="auto"/>
                      <w:sz w:val="21"/>
                      <w:szCs w:val="21"/>
                    </w:rPr>
                  </w:pPr>
                  <w:r>
                    <w:rPr>
                      <w:rFonts w:hint="eastAsia" w:ascii="宋体" w:hAnsi="宋体"/>
                      <w:color w:val="auto"/>
                      <w:sz w:val="21"/>
                      <w:szCs w:val="21"/>
                    </w:rPr>
                    <w:t>2.0</w:t>
                  </w:r>
                </w:p>
              </w:tc>
              <w:tc>
                <w:tcPr>
                  <w:tcW w:w="446" w:type="pct"/>
                </w:tcPr>
                <w:p w14:paraId="11391C12">
                  <w:pPr>
                    <w:spacing w:line="400" w:lineRule="exact"/>
                    <w:rPr>
                      <w:rFonts w:ascii="宋体" w:hAnsi="宋体"/>
                      <w:color w:val="auto"/>
                      <w:sz w:val="21"/>
                      <w:szCs w:val="21"/>
                    </w:rPr>
                  </w:pPr>
                  <w:r>
                    <w:rPr>
                      <w:rFonts w:hint="eastAsia" w:ascii="宋体" w:hAnsi="宋体"/>
                      <w:color w:val="auto"/>
                      <w:sz w:val="21"/>
                      <w:szCs w:val="21"/>
                    </w:rPr>
                    <w:t>2.5</w:t>
                  </w:r>
                </w:p>
              </w:tc>
              <w:tc>
                <w:tcPr>
                  <w:tcW w:w="541" w:type="pct"/>
                </w:tcPr>
                <w:p w14:paraId="5E3F4B8A">
                  <w:pPr>
                    <w:spacing w:line="400" w:lineRule="exact"/>
                    <w:rPr>
                      <w:rFonts w:ascii="宋体" w:hAnsi="宋体"/>
                      <w:color w:val="auto"/>
                      <w:sz w:val="21"/>
                      <w:szCs w:val="21"/>
                    </w:rPr>
                  </w:pPr>
                  <w:r>
                    <w:rPr>
                      <w:rFonts w:hint="eastAsia" w:ascii="宋体" w:hAnsi="宋体"/>
                      <w:color w:val="auto"/>
                      <w:sz w:val="21"/>
                      <w:szCs w:val="21"/>
                    </w:rPr>
                    <w:t>2.5</w:t>
                  </w:r>
                </w:p>
              </w:tc>
              <w:tc>
                <w:tcPr>
                  <w:tcW w:w="646" w:type="pct"/>
                </w:tcPr>
                <w:p w14:paraId="54F1860F">
                  <w:pPr>
                    <w:spacing w:line="400" w:lineRule="exact"/>
                    <w:rPr>
                      <w:rFonts w:ascii="宋体" w:hAnsi="宋体"/>
                      <w:color w:val="auto"/>
                      <w:sz w:val="21"/>
                      <w:szCs w:val="21"/>
                    </w:rPr>
                  </w:pPr>
                  <w:r>
                    <w:rPr>
                      <w:rFonts w:hint="eastAsia" w:ascii="宋体" w:hAnsi="宋体"/>
                      <w:color w:val="auto"/>
                      <w:sz w:val="21"/>
                      <w:szCs w:val="21"/>
                    </w:rPr>
                    <w:t>3.5</w:t>
                  </w:r>
                </w:p>
              </w:tc>
            </w:tr>
            <w:tr w14:paraId="3ADA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0" w:type="pct"/>
                  <w:vMerge w:val="continue"/>
                </w:tcPr>
                <w:p w14:paraId="464FA54D">
                  <w:pPr>
                    <w:spacing w:line="400" w:lineRule="exact"/>
                    <w:rPr>
                      <w:rFonts w:ascii="宋体" w:hAnsi="宋体"/>
                      <w:color w:val="auto"/>
                      <w:sz w:val="21"/>
                      <w:szCs w:val="21"/>
                    </w:rPr>
                  </w:pPr>
                </w:p>
              </w:tc>
              <w:tc>
                <w:tcPr>
                  <w:tcW w:w="1147" w:type="pct"/>
                </w:tcPr>
                <w:p w14:paraId="00341C28">
                  <w:pPr>
                    <w:spacing w:line="400" w:lineRule="exact"/>
                    <w:rPr>
                      <w:rFonts w:ascii="宋体" w:hAnsi="宋体"/>
                      <w:color w:val="auto"/>
                      <w:sz w:val="21"/>
                      <w:szCs w:val="21"/>
                    </w:rPr>
                  </w:pPr>
                  <w:r>
                    <w:rPr>
                      <w:rFonts w:hint="eastAsia" w:ascii="宋体" w:hAnsi="宋体"/>
                      <w:color w:val="auto"/>
                      <w:sz w:val="21"/>
                      <w:szCs w:val="21"/>
                    </w:rPr>
                    <w:t>壁厚&lt;=2MM金属管</w:t>
                  </w:r>
                </w:p>
              </w:tc>
              <w:tc>
                <w:tcPr>
                  <w:tcW w:w="650" w:type="pct"/>
                </w:tcPr>
                <w:p w14:paraId="298C7CEA">
                  <w:pPr>
                    <w:spacing w:line="400" w:lineRule="exact"/>
                    <w:rPr>
                      <w:rFonts w:ascii="宋体" w:hAnsi="宋体"/>
                      <w:color w:val="auto"/>
                      <w:sz w:val="21"/>
                      <w:szCs w:val="21"/>
                    </w:rPr>
                  </w:pPr>
                  <w:r>
                    <w:rPr>
                      <w:rFonts w:hint="eastAsia" w:ascii="宋体" w:hAnsi="宋体"/>
                      <w:color w:val="auto"/>
                      <w:sz w:val="21"/>
                      <w:szCs w:val="21"/>
                    </w:rPr>
                    <w:t>1.0</w:t>
                  </w:r>
                </w:p>
              </w:tc>
              <w:tc>
                <w:tcPr>
                  <w:tcW w:w="518" w:type="pct"/>
                </w:tcPr>
                <w:p w14:paraId="43C636AE">
                  <w:pPr>
                    <w:spacing w:line="400" w:lineRule="exact"/>
                    <w:rPr>
                      <w:rFonts w:ascii="宋体" w:hAnsi="宋体"/>
                      <w:color w:val="auto"/>
                      <w:sz w:val="21"/>
                      <w:szCs w:val="21"/>
                    </w:rPr>
                  </w:pPr>
                  <w:r>
                    <w:rPr>
                      <w:rFonts w:hint="eastAsia" w:ascii="宋体" w:hAnsi="宋体"/>
                      <w:color w:val="auto"/>
                      <w:sz w:val="21"/>
                      <w:szCs w:val="21"/>
                    </w:rPr>
                    <w:t>1.5</w:t>
                  </w:r>
                </w:p>
              </w:tc>
              <w:tc>
                <w:tcPr>
                  <w:tcW w:w="446" w:type="pct"/>
                </w:tcPr>
                <w:p w14:paraId="1DF9515D">
                  <w:pPr>
                    <w:spacing w:line="400" w:lineRule="exact"/>
                    <w:rPr>
                      <w:rFonts w:ascii="宋体" w:hAnsi="宋体"/>
                      <w:color w:val="auto"/>
                      <w:sz w:val="21"/>
                      <w:szCs w:val="21"/>
                    </w:rPr>
                  </w:pPr>
                  <w:r>
                    <w:rPr>
                      <w:rFonts w:hint="eastAsia" w:ascii="宋体" w:hAnsi="宋体"/>
                      <w:color w:val="auto"/>
                      <w:sz w:val="21"/>
                      <w:szCs w:val="21"/>
                    </w:rPr>
                    <w:t>2.0</w:t>
                  </w:r>
                </w:p>
              </w:tc>
              <w:tc>
                <w:tcPr>
                  <w:tcW w:w="541" w:type="pct"/>
                </w:tcPr>
                <w:p w14:paraId="51B84279">
                  <w:pPr>
                    <w:spacing w:line="400" w:lineRule="exact"/>
                    <w:rPr>
                      <w:rFonts w:ascii="宋体" w:hAnsi="宋体"/>
                      <w:color w:val="auto"/>
                      <w:sz w:val="21"/>
                      <w:szCs w:val="21"/>
                    </w:rPr>
                  </w:pPr>
                  <w:r>
                    <w:rPr>
                      <w:rFonts w:hint="eastAsia" w:ascii="宋体" w:hAnsi="宋体"/>
                      <w:color w:val="auto"/>
                      <w:sz w:val="21"/>
                      <w:szCs w:val="21"/>
                    </w:rPr>
                    <w:t>_</w:t>
                  </w:r>
                </w:p>
              </w:tc>
              <w:tc>
                <w:tcPr>
                  <w:tcW w:w="646" w:type="pct"/>
                </w:tcPr>
                <w:p w14:paraId="7E68485E">
                  <w:pPr>
                    <w:spacing w:line="400" w:lineRule="exact"/>
                    <w:rPr>
                      <w:rFonts w:ascii="宋体" w:hAnsi="宋体"/>
                      <w:color w:val="auto"/>
                      <w:sz w:val="21"/>
                      <w:szCs w:val="21"/>
                    </w:rPr>
                  </w:pPr>
                  <w:r>
                    <w:rPr>
                      <w:rFonts w:hint="eastAsia" w:ascii="宋体" w:hAnsi="宋体"/>
                      <w:color w:val="auto"/>
                      <w:sz w:val="21"/>
                      <w:szCs w:val="21"/>
                    </w:rPr>
                    <w:t>_</w:t>
                  </w:r>
                </w:p>
              </w:tc>
            </w:tr>
            <w:tr w14:paraId="43BA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50" w:type="pct"/>
                  <w:vMerge w:val="continue"/>
                </w:tcPr>
                <w:p w14:paraId="53B7819A">
                  <w:pPr>
                    <w:spacing w:line="400" w:lineRule="exact"/>
                    <w:rPr>
                      <w:rFonts w:ascii="宋体" w:hAnsi="宋体"/>
                      <w:color w:val="auto"/>
                      <w:sz w:val="21"/>
                      <w:szCs w:val="21"/>
                    </w:rPr>
                  </w:pPr>
                </w:p>
              </w:tc>
              <w:tc>
                <w:tcPr>
                  <w:tcW w:w="1147" w:type="pct"/>
                </w:tcPr>
                <w:p w14:paraId="421F61B2">
                  <w:pPr>
                    <w:spacing w:line="400" w:lineRule="exact"/>
                    <w:rPr>
                      <w:rFonts w:ascii="宋体" w:hAnsi="宋体"/>
                      <w:color w:val="auto"/>
                      <w:sz w:val="21"/>
                      <w:szCs w:val="21"/>
                    </w:rPr>
                  </w:pPr>
                  <w:r>
                    <w:rPr>
                      <w:rFonts w:hint="eastAsia" w:ascii="宋体" w:hAnsi="宋体"/>
                      <w:color w:val="auto"/>
                      <w:sz w:val="21"/>
                      <w:szCs w:val="21"/>
                    </w:rPr>
                    <w:t>PVC管</w:t>
                  </w:r>
                </w:p>
              </w:tc>
              <w:tc>
                <w:tcPr>
                  <w:tcW w:w="650" w:type="pct"/>
                </w:tcPr>
                <w:p w14:paraId="047F2E20">
                  <w:pPr>
                    <w:spacing w:line="400" w:lineRule="exact"/>
                    <w:rPr>
                      <w:rFonts w:ascii="宋体" w:hAnsi="宋体"/>
                      <w:color w:val="auto"/>
                      <w:sz w:val="21"/>
                      <w:szCs w:val="21"/>
                    </w:rPr>
                  </w:pPr>
                  <w:r>
                    <w:rPr>
                      <w:rFonts w:hint="eastAsia" w:ascii="宋体" w:hAnsi="宋体"/>
                      <w:color w:val="auto"/>
                      <w:sz w:val="21"/>
                      <w:szCs w:val="21"/>
                    </w:rPr>
                    <w:t>1.0</w:t>
                  </w:r>
                </w:p>
              </w:tc>
              <w:tc>
                <w:tcPr>
                  <w:tcW w:w="518" w:type="pct"/>
                </w:tcPr>
                <w:p w14:paraId="1B7DBDC9">
                  <w:pPr>
                    <w:spacing w:line="400" w:lineRule="exact"/>
                    <w:rPr>
                      <w:rFonts w:ascii="宋体" w:hAnsi="宋体"/>
                      <w:color w:val="auto"/>
                      <w:sz w:val="21"/>
                      <w:szCs w:val="21"/>
                    </w:rPr>
                  </w:pPr>
                  <w:r>
                    <w:rPr>
                      <w:rFonts w:hint="eastAsia" w:ascii="宋体" w:hAnsi="宋体"/>
                      <w:color w:val="auto"/>
                      <w:sz w:val="21"/>
                      <w:szCs w:val="21"/>
                    </w:rPr>
                    <w:t>1.5</w:t>
                  </w:r>
                </w:p>
              </w:tc>
              <w:tc>
                <w:tcPr>
                  <w:tcW w:w="446" w:type="pct"/>
                </w:tcPr>
                <w:p w14:paraId="34DB8F09">
                  <w:pPr>
                    <w:spacing w:line="400" w:lineRule="exact"/>
                    <w:rPr>
                      <w:rFonts w:ascii="宋体" w:hAnsi="宋体"/>
                      <w:color w:val="auto"/>
                      <w:sz w:val="21"/>
                      <w:szCs w:val="21"/>
                    </w:rPr>
                  </w:pPr>
                  <w:r>
                    <w:rPr>
                      <w:rFonts w:hint="eastAsia" w:ascii="宋体" w:hAnsi="宋体"/>
                      <w:color w:val="auto"/>
                      <w:sz w:val="21"/>
                      <w:szCs w:val="21"/>
                    </w:rPr>
                    <w:t>1.5</w:t>
                  </w:r>
                </w:p>
              </w:tc>
              <w:tc>
                <w:tcPr>
                  <w:tcW w:w="541" w:type="pct"/>
                </w:tcPr>
                <w:p w14:paraId="41FDE64C">
                  <w:pPr>
                    <w:spacing w:line="400" w:lineRule="exact"/>
                    <w:rPr>
                      <w:rFonts w:ascii="宋体" w:hAnsi="宋体"/>
                      <w:color w:val="auto"/>
                      <w:sz w:val="21"/>
                      <w:szCs w:val="21"/>
                    </w:rPr>
                  </w:pPr>
                  <w:r>
                    <w:rPr>
                      <w:rFonts w:hint="eastAsia" w:ascii="宋体" w:hAnsi="宋体"/>
                      <w:color w:val="auto"/>
                      <w:sz w:val="21"/>
                      <w:szCs w:val="21"/>
                    </w:rPr>
                    <w:t>2.0</w:t>
                  </w:r>
                </w:p>
              </w:tc>
              <w:tc>
                <w:tcPr>
                  <w:tcW w:w="646" w:type="pct"/>
                </w:tcPr>
                <w:p w14:paraId="673CF1BC">
                  <w:pPr>
                    <w:spacing w:line="400" w:lineRule="exact"/>
                    <w:rPr>
                      <w:rFonts w:ascii="宋体" w:hAnsi="宋体"/>
                      <w:color w:val="auto"/>
                      <w:sz w:val="21"/>
                      <w:szCs w:val="21"/>
                    </w:rPr>
                  </w:pPr>
                  <w:r>
                    <w:rPr>
                      <w:rFonts w:hint="eastAsia" w:ascii="宋体" w:hAnsi="宋体"/>
                      <w:color w:val="auto"/>
                      <w:sz w:val="21"/>
                      <w:szCs w:val="21"/>
                    </w:rPr>
                    <w:t>2.0</w:t>
                  </w:r>
                </w:p>
              </w:tc>
            </w:tr>
          </w:tbl>
          <w:p w14:paraId="64B762EA">
            <w:pPr>
              <w:widowControl/>
              <w:spacing w:line="400" w:lineRule="exact"/>
              <w:jc w:val="left"/>
              <w:rPr>
                <w:rFonts w:ascii="宋体" w:hAnsi="宋体"/>
                <w:color w:val="auto"/>
                <w:sz w:val="21"/>
                <w:szCs w:val="21"/>
              </w:rPr>
            </w:pPr>
          </w:p>
          <w:p w14:paraId="65D3EF93">
            <w:pPr>
              <w:widowControl/>
              <w:spacing w:line="400" w:lineRule="exact"/>
              <w:jc w:val="left"/>
              <w:rPr>
                <w:rFonts w:ascii="宋体" w:hAnsi="宋体"/>
                <w:color w:val="auto"/>
                <w:sz w:val="21"/>
                <w:szCs w:val="21"/>
              </w:rPr>
            </w:pPr>
            <w:r>
              <w:rPr>
                <w:rFonts w:hint="eastAsia" w:ascii="宋体" w:hAnsi="宋体"/>
                <w:color w:val="auto"/>
                <w:sz w:val="21"/>
                <w:szCs w:val="21"/>
              </w:rPr>
              <w:t>（5）线管转弯处及进入开关、插座、灯座和接线盒前300MM处都应用管卡固定。</w:t>
            </w:r>
          </w:p>
          <w:p w14:paraId="348985A8">
            <w:pPr>
              <w:widowControl/>
              <w:spacing w:line="400" w:lineRule="exact"/>
              <w:jc w:val="left"/>
              <w:rPr>
                <w:rFonts w:ascii="宋体" w:hAnsi="宋体"/>
                <w:color w:val="auto"/>
                <w:sz w:val="21"/>
                <w:szCs w:val="21"/>
              </w:rPr>
            </w:pPr>
            <w:r>
              <w:rPr>
                <w:rFonts w:hint="eastAsia" w:ascii="宋体" w:hAnsi="宋体"/>
                <w:color w:val="auto"/>
                <w:sz w:val="21"/>
                <w:szCs w:val="21"/>
              </w:rPr>
              <w:t>（6）线管架空时，距离超过2米应加钢丝并进行捆扎保护。</w:t>
            </w:r>
          </w:p>
          <w:p w14:paraId="5FD86973">
            <w:pPr>
              <w:widowControl/>
              <w:spacing w:line="400" w:lineRule="exact"/>
              <w:jc w:val="left"/>
              <w:rPr>
                <w:rFonts w:ascii="宋体" w:hAnsi="宋体"/>
                <w:color w:val="auto"/>
                <w:sz w:val="21"/>
                <w:szCs w:val="21"/>
              </w:rPr>
            </w:pPr>
            <w:r>
              <w:rPr>
                <w:rFonts w:hint="eastAsia" w:ascii="宋体" w:hAnsi="宋体"/>
                <w:color w:val="auto"/>
                <w:sz w:val="21"/>
                <w:szCs w:val="21"/>
              </w:rPr>
              <w:t>暗敷</w:t>
            </w:r>
          </w:p>
          <w:p w14:paraId="74B07C9A">
            <w:pPr>
              <w:widowControl/>
              <w:spacing w:line="400" w:lineRule="exact"/>
              <w:jc w:val="left"/>
              <w:rPr>
                <w:rFonts w:ascii="宋体" w:hAnsi="宋体"/>
                <w:color w:val="auto"/>
                <w:sz w:val="21"/>
                <w:szCs w:val="21"/>
              </w:rPr>
            </w:pPr>
            <w:r>
              <w:rPr>
                <w:rFonts w:hint="eastAsia" w:ascii="宋体" w:hAnsi="宋体"/>
                <w:color w:val="auto"/>
                <w:sz w:val="21"/>
                <w:szCs w:val="21"/>
              </w:rPr>
              <w:t>（1）布管每15M处应设置过线盒。</w:t>
            </w:r>
          </w:p>
          <w:p w14:paraId="727E02AE">
            <w:pPr>
              <w:widowControl/>
              <w:spacing w:line="400" w:lineRule="exact"/>
              <w:jc w:val="left"/>
              <w:rPr>
                <w:rFonts w:ascii="宋体" w:hAnsi="宋体"/>
                <w:color w:val="auto"/>
                <w:sz w:val="21"/>
                <w:szCs w:val="21"/>
              </w:rPr>
            </w:pPr>
            <w:r>
              <w:rPr>
                <w:rFonts w:hint="eastAsia" w:ascii="宋体" w:hAnsi="宋体"/>
                <w:color w:val="auto"/>
                <w:sz w:val="21"/>
                <w:szCs w:val="21"/>
              </w:rPr>
              <w:t>（2）暗管的转弯角度应大于90度，转弯角应不多于2个，无S弯出现。</w:t>
            </w:r>
          </w:p>
          <w:p w14:paraId="53050582">
            <w:pPr>
              <w:widowControl/>
              <w:spacing w:line="400" w:lineRule="exact"/>
              <w:jc w:val="left"/>
              <w:rPr>
                <w:rFonts w:ascii="宋体" w:hAnsi="宋体"/>
                <w:color w:val="auto"/>
                <w:sz w:val="21"/>
                <w:szCs w:val="21"/>
              </w:rPr>
            </w:pPr>
            <w:r>
              <w:rPr>
                <w:rFonts w:hint="eastAsia" w:ascii="宋体" w:hAnsi="宋体"/>
                <w:color w:val="auto"/>
                <w:sz w:val="21"/>
                <w:szCs w:val="21"/>
              </w:rPr>
              <w:t>（3）暗管管口应光滑，并加有护口保护，管口伸出部位应为25~50MM.。</w:t>
            </w:r>
          </w:p>
          <w:p w14:paraId="45389C28">
            <w:pPr>
              <w:widowControl/>
              <w:spacing w:line="400" w:lineRule="exact"/>
              <w:jc w:val="left"/>
              <w:rPr>
                <w:rFonts w:ascii="宋体" w:hAnsi="宋体"/>
                <w:color w:val="auto"/>
                <w:sz w:val="21"/>
                <w:szCs w:val="21"/>
              </w:rPr>
            </w:pPr>
            <w:r>
              <w:rPr>
                <w:rFonts w:hint="eastAsia" w:ascii="宋体" w:hAnsi="宋体"/>
                <w:color w:val="auto"/>
                <w:sz w:val="21"/>
                <w:szCs w:val="21"/>
              </w:rPr>
              <w:t>（4）线管在吊顶上方布放时，不应直接放置于吊顶上方。应固定于吊架或建筑物侧面及顶面，固定间距要求。</w:t>
            </w:r>
          </w:p>
          <w:p w14:paraId="514BB0E0">
            <w:pPr>
              <w:widowControl/>
              <w:spacing w:line="400" w:lineRule="exact"/>
              <w:jc w:val="left"/>
              <w:rPr>
                <w:rFonts w:ascii="宋体" w:hAnsi="宋体"/>
                <w:color w:val="auto"/>
                <w:sz w:val="21"/>
                <w:szCs w:val="21"/>
              </w:rPr>
            </w:pPr>
            <w:r>
              <w:rPr>
                <w:rFonts w:hint="eastAsia" w:ascii="宋体" w:hAnsi="宋体"/>
                <w:color w:val="auto"/>
                <w:sz w:val="21"/>
                <w:szCs w:val="21"/>
              </w:rPr>
              <w:t>3、线缆敷设要求</w:t>
            </w:r>
          </w:p>
          <w:p w14:paraId="6CCF471C">
            <w:pPr>
              <w:widowControl/>
              <w:spacing w:line="400" w:lineRule="exact"/>
              <w:jc w:val="left"/>
              <w:rPr>
                <w:rFonts w:ascii="宋体" w:hAnsi="宋体"/>
                <w:color w:val="auto"/>
                <w:sz w:val="21"/>
                <w:szCs w:val="21"/>
              </w:rPr>
            </w:pPr>
            <w:r>
              <w:rPr>
                <w:rFonts w:hint="eastAsia" w:ascii="宋体" w:hAnsi="宋体"/>
                <w:color w:val="auto"/>
                <w:sz w:val="21"/>
                <w:szCs w:val="21"/>
              </w:rPr>
              <w:t>（1）线缆的数量、型号、规格应符合设计要求。</w:t>
            </w:r>
          </w:p>
          <w:p w14:paraId="3A82C2FE">
            <w:pPr>
              <w:widowControl/>
              <w:spacing w:line="400" w:lineRule="exact"/>
              <w:jc w:val="left"/>
              <w:rPr>
                <w:rFonts w:ascii="宋体" w:hAnsi="宋体"/>
                <w:color w:val="auto"/>
                <w:sz w:val="21"/>
                <w:szCs w:val="21"/>
              </w:rPr>
            </w:pPr>
            <w:r>
              <w:rPr>
                <w:rFonts w:hint="eastAsia" w:ascii="宋体" w:hAnsi="宋体"/>
                <w:color w:val="auto"/>
                <w:sz w:val="21"/>
                <w:szCs w:val="21"/>
              </w:rPr>
              <w:t>（2）槽、管内导线总截面积（包括外护层）不得超过线槽有效面积的60%</w:t>
            </w:r>
          </w:p>
          <w:p w14:paraId="6176CFA1">
            <w:pPr>
              <w:widowControl/>
              <w:spacing w:line="400" w:lineRule="exact"/>
              <w:jc w:val="left"/>
              <w:rPr>
                <w:rFonts w:ascii="宋体" w:hAnsi="宋体"/>
                <w:color w:val="auto"/>
                <w:sz w:val="21"/>
                <w:szCs w:val="21"/>
              </w:rPr>
            </w:pPr>
            <w:r>
              <w:rPr>
                <w:rFonts w:hint="eastAsia" w:ascii="宋体" w:hAnsi="宋体"/>
                <w:color w:val="auto"/>
                <w:sz w:val="21"/>
                <w:szCs w:val="21"/>
              </w:rPr>
              <w:t>（3）缆线的布放应自然平直，不得产生扭绞、打圈、损伤现象。</w:t>
            </w:r>
          </w:p>
          <w:p w14:paraId="55DC541A">
            <w:pPr>
              <w:widowControl/>
              <w:spacing w:line="400" w:lineRule="exact"/>
              <w:jc w:val="left"/>
              <w:rPr>
                <w:rFonts w:ascii="宋体" w:hAnsi="宋体"/>
                <w:color w:val="auto"/>
                <w:sz w:val="21"/>
                <w:szCs w:val="21"/>
              </w:rPr>
            </w:pPr>
            <w:r>
              <w:rPr>
                <w:rFonts w:hint="eastAsia" w:ascii="宋体" w:hAnsi="宋体"/>
                <w:color w:val="auto"/>
                <w:sz w:val="21"/>
                <w:szCs w:val="21"/>
              </w:rPr>
              <w:t>（4）线缆的弯曲度不小于90度。</w:t>
            </w:r>
          </w:p>
          <w:p w14:paraId="04D7798B">
            <w:pPr>
              <w:widowControl/>
              <w:spacing w:line="400" w:lineRule="exact"/>
              <w:jc w:val="left"/>
              <w:rPr>
                <w:rFonts w:ascii="宋体" w:hAnsi="宋体"/>
                <w:color w:val="auto"/>
                <w:sz w:val="21"/>
                <w:szCs w:val="21"/>
              </w:rPr>
            </w:pPr>
            <w:r>
              <w:rPr>
                <w:rFonts w:hint="eastAsia" w:ascii="宋体" w:hAnsi="宋体"/>
                <w:color w:val="auto"/>
                <w:sz w:val="21"/>
                <w:szCs w:val="21"/>
              </w:rPr>
              <w:t>（5）线缆在管内或线槽内不应有接头，接头应在接线盒内焊接或用端子连接。</w:t>
            </w:r>
          </w:p>
          <w:p w14:paraId="622B6A94">
            <w:pPr>
              <w:widowControl/>
              <w:spacing w:line="400" w:lineRule="exact"/>
              <w:jc w:val="left"/>
              <w:rPr>
                <w:rFonts w:ascii="宋体" w:hAnsi="宋体"/>
                <w:color w:val="auto"/>
                <w:sz w:val="21"/>
                <w:szCs w:val="21"/>
              </w:rPr>
            </w:pPr>
            <w:r>
              <w:rPr>
                <w:rFonts w:hint="eastAsia" w:ascii="宋体" w:hAnsi="宋体"/>
                <w:color w:val="auto"/>
                <w:sz w:val="21"/>
                <w:szCs w:val="21"/>
              </w:rPr>
              <w:t>（6）网络线、控制线、同轴电缆应一线到位，中间无接头。单根网络线长度不能超过90米，同轴电缆不能超过150M。</w:t>
            </w:r>
          </w:p>
          <w:p w14:paraId="2DA73246">
            <w:pPr>
              <w:widowControl/>
              <w:spacing w:line="400" w:lineRule="exact"/>
              <w:jc w:val="left"/>
              <w:rPr>
                <w:rFonts w:ascii="宋体" w:hAnsi="宋体"/>
                <w:color w:val="auto"/>
                <w:sz w:val="21"/>
                <w:szCs w:val="21"/>
              </w:rPr>
            </w:pPr>
            <w:r>
              <w:rPr>
                <w:rFonts w:hint="eastAsia" w:ascii="宋体" w:hAnsi="宋体"/>
                <w:color w:val="auto"/>
                <w:sz w:val="21"/>
                <w:szCs w:val="21"/>
              </w:rPr>
              <w:t>（7）穿过梁、墙、楼板和跨越线路等处线缆应有保护管。</w:t>
            </w:r>
          </w:p>
          <w:p w14:paraId="3053B47F">
            <w:pPr>
              <w:widowControl/>
              <w:spacing w:line="400" w:lineRule="exact"/>
              <w:jc w:val="left"/>
              <w:rPr>
                <w:rFonts w:ascii="宋体" w:hAnsi="宋体"/>
                <w:color w:val="auto"/>
                <w:sz w:val="21"/>
                <w:szCs w:val="21"/>
              </w:rPr>
            </w:pPr>
            <w:r>
              <w:rPr>
                <w:rFonts w:hint="eastAsia" w:ascii="宋体" w:hAnsi="宋体"/>
                <w:color w:val="auto"/>
                <w:sz w:val="21"/>
                <w:szCs w:val="21"/>
              </w:rPr>
              <w:t>（8）线缆两端有明显标识，标识明确、清晰、耐擦、无损伤。</w:t>
            </w:r>
          </w:p>
          <w:p w14:paraId="531BDB01">
            <w:pPr>
              <w:widowControl/>
              <w:spacing w:line="400" w:lineRule="exact"/>
              <w:jc w:val="left"/>
              <w:rPr>
                <w:rFonts w:ascii="宋体" w:hAnsi="宋体"/>
                <w:color w:val="auto"/>
                <w:sz w:val="21"/>
                <w:szCs w:val="21"/>
              </w:rPr>
            </w:pPr>
            <w:r>
              <w:rPr>
                <w:rFonts w:hint="eastAsia" w:ascii="宋体" w:hAnsi="宋体"/>
                <w:color w:val="auto"/>
                <w:sz w:val="21"/>
                <w:szCs w:val="21"/>
              </w:rPr>
              <w:t>（9）缆线应有余量，按要求分组、捋直，从线槽、线管口开始就捆扎好，并对出口处进行防火封堵。</w:t>
            </w:r>
          </w:p>
          <w:p w14:paraId="278C133A">
            <w:pPr>
              <w:widowControl/>
              <w:spacing w:line="400" w:lineRule="exact"/>
              <w:jc w:val="left"/>
              <w:rPr>
                <w:rFonts w:ascii="宋体" w:hAnsi="宋体"/>
                <w:color w:val="auto"/>
                <w:sz w:val="21"/>
                <w:szCs w:val="21"/>
              </w:rPr>
            </w:pPr>
            <w:r>
              <w:rPr>
                <w:rFonts w:hint="eastAsia" w:ascii="宋体" w:hAnsi="宋体"/>
                <w:color w:val="auto"/>
                <w:sz w:val="21"/>
                <w:szCs w:val="21"/>
              </w:rPr>
              <w:t>（10）电源线与弱电线缆应分隔布放，最小净距离应大于130MM.。</w:t>
            </w:r>
          </w:p>
          <w:p w14:paraId="76F408C4">
            <w:pPr>
              <w:widowControl/>
              <w:spacing w:line="400" w:lineRule="exact"/>
              <w:jc w:val="left"/>
              <w:rPr>
                <w:rFonts w:ascii="宋体" w:hAnsi="宋体"/>
                <w:color w:val="auto"/>
                <w:sz w:val="21"/>
                <w:szCs w:val="21"/>
              </w:rPr>
            </w:pPr>
            <w:r>
              <w:rPr>
                <w:rFonts w:hint="eastAsia" w:ascii="宋体" w:hAnsi="宋体"/>
                <w:color w:val="auto"/>
                <w:sz w:val="21"/>
                <w:szCs w:val="21"/>
              </w:rPr>
              <w:t>4、打穿楼墙洞及恢复</w:t>
            </w:r>
          </w:p>
          <w:p w14:paraId="055EDFF8">
            <w:pPr>
              <w:widowControl/>
              <w:spacing w:line="400" w:lineRule="exact"/>
              <w:jc w:val="left"/>
              <w:rPr>
                <w:rFonts w:ascii="宋体" w:hAnsi="宋体"/>
                <w:color w:val="auto"/>
                <w:sz w:val="21"/>
                <w:szCs w:val="21"/>
              </w:rPr>
            </w:pPr>
            <w:r>
              <w:rPr>
                <w:rFonts w:hint="eastAsia" w:ascii="宋体" w:hAnsi="宋体"/>
                <w:color w:val="auto"/>
                <w:sz w:val="21"/>
                <w:szCs w:val="21"/>
              </w:rPr>
              <w:t>（1）打穿楼墙洞位置符合施工要求。</w:t>
            </w:r>
          </w:p>
          <w:p w14:paraId="1A8F936C">
            <w:pPr>
              <w:widowControl/>
              <w:spacing w:line="400" w:lineRule="exact"/>
              <w:jc w:val="left"/>
              <w:rPr>
                <w:rFonts w:ascii="宋体" w:hAnsi="宋体"/>
                <w:color w:val="auto"/>
                <w:sz w:val="21"/>
                <w:szCs w:val="21"/>
              </w:rPr>
            </w:pPr>
            <w:r>
              <w:rPr>
                <w:rFonts w:hint="eastAsia" w:ascii="宋体" w:hAnsi="宋体"/>
                <w:color w:val="auto"/>
                <w:sz w:val="21"/>
                <w:szCs w:val="21"/>
              </w:rPr>
              <w:t>（2）穿洞截面稍大于所穿线缆横截面，洞表面平整。</w:t>
            </w:r>
          </w:p>
          <w:p w14:paraId="4B286C53">
            <w:pPr>
              <w:widowControl/>
              <w:spacing w:line="400" w:lineRule="exact"/>
              <w:jc w:val="left"/>
              <w:rPr>
                <w:rFonts w:ascii="宋体" w:hAnsi="宋体"/>
                <w:color w:val="auto"/>
                <w:sz w:val="21"/>
                <w:szCs w:val="21"/>
              </w:rPr>
            </w:pPr>
            <w:r>
              <w:rPr>
                <w:rFonts w:hint="eastAsia" w:ascii="宋体" w:hAnsi="宋体"/>
                <w:color w:val="auto"/>
                <w:sz w:val="21"/>
                <w:szCs w:val="21"/>
              </w:rPr>
              <w:t>（3）线缆敷设完工后洞口两端应用防火材料进行封堵，墙面、地面做好密封处理并恢复原状。</w:t>
            </w:r>
          </w:p>
          <w:p w14:paraId="2AC0AEF1">
            <w:pPr>
              <w:widowControl/>
              <w:spacing w:line="400" w:lineRule="exact"/>
              <w:jc w:val="left"/>
              <w:rPr>
                <w:rFonts w:ascii="宋体" w:hAnsi="宋体"/>
                <w:color w:val="auto"/>
                <w:sz w:val="21"/>
                <w:szCs w:val="21"/>
              </w:rPr>
            </w:pPr>
            <w:r>
              <w:rPr>
                <w:rFonts w:hint="eastAsia" w:ascii="宋体" w:hAnsi="宋体"/>
                <w:color w:val="auto"/>
                <w:sz w:val="21"/>
                <w:szCs w:val="21"/>
              </w:rPr>
              <w:t>5、室内墙面、地面开槽及恢复</w:t>
            </w:r>
          </w:p>
          <w:p w14:paraId="7BD3164E">
            <w:pPr>
              <w:widowControl/>
              <w:spacing w:line="400" w:lineRule="exact"/>
              <w:jc w:val="left"/>
              <w:rPr>
                <w:rFonts w:ascii="宋体" w:hAnsi="宋体"/>
                <w:color w:val="auto"/>
                <w:sz w:val="21"/>
                <w:szCs w:val="21"/>
              </w:rPr>
            </w:pPr>
            <w:r>
              <w:rPr>
                <w:rFonts w:hint="eastAsia" w:ascii="宋体" w:hAnsi="宋体"/>
                <w:color w:val="auto"/>
                <w:sz w:val="21"/>
                <w:szCs w:val="21"/>
              </w:rPr>
              <w:t>（1）开槽位置、宽度、深度符合施工要求。</w:t>
            </w:r>
          </w:p>
          <w:p w14:paraId="4C22ADB6">
            <w:pPr>
              <w:widowControl/>
              <w:spacing w:line="400" w:lineRule="exact"/>
              <w:jc w:val="left"/>
              <w:rPr>
                <w:rFonts w:ascii="宋体" w:hAnsi="宋体"/>
                <w:color w:val="auto"/>
                <w:sz w:val="21"/>
                <w:szCs w:val="21"/>
              </w:rPr>
            </w:pPr>
            <w:r>
              <w:rPr>
                <w:rFonts w:hint="eastAsia" w:ascii="宋体" w:hAnsi="宋体"/>
                <w:color w:val="auto"/>
                <w:sz w:val="21"/>
                <w:szCs w:val="21"/>
              </w:rPr>
              <w:t>（2）开槽宽度、深度与暗埋管槽规格相适应，管槽无露出。</w:t>
            </w:r>
          </w:p>
          <w:p w14:paraId="0D7B4400">
            <w:pPr>
              <w:widowControl/>
              <w:spacing w:line="400" w:lineRule="exact"/>
              <w:jc w:val="left"/>
              <w:rPr>
                <w:rFonts w:ascii="宋体" w:hAnsi="宋体"/>
                <w:color w:val="auto"/>
                <w:sz w:val="21"/>
                <w:szCs w:val="21"/>
              </w:rPr>
            </w:pPr>
            <w:r>
              <w:rPr>
                <w:rFonts w:hint="eastAsia" w:ascii="宋体" w:hAnsi="宋体"/>
                <w:color w:val="auto"/>
                <w:sz w:val="21"/>
                <w:szCs w:val="21"/>
              </w:rPr>
              <w:t>（3）线缆敷设完工后，墙面、地面开槽处应恢复原状。</w:t>
            </w:r>
          </w:p>
          <w:p w14:paraId="0259D581">
            <w:pPr>
              <w:widowControl/>
              <w:spacing w:line="400" w:lineRule="exact"/>
              <w:jc w:val="left"/>
              <w:rPr>
                <w:rFonts w:ascii="宋体" w:hAnsi="宋体"/>
                <w:color w:val="auto"/>
                <w:sz w:val="21"/>
                <w:szCs w:val="21"/>
              </w:rPr>
            </w:pPr>
            <w:r>
              <w:rPr>
                <w:rFonts w:hint="eastAsia" w:ascii="宋体" w:hAnsi="宋体"/>
                <w:color w:val="auto"/>
                <w:sz w:val="21"/>
                <w:szCs w:val="21"/>
              </w:rPr>
              <w:t>6、机柜及设备箱安装质量要求</w:t>
            </w:r>
          </w:p>
          <w:p w14:paraId="2BC17B92">
            <w:pPr>
              <w:widowControl/>
              <w:spacing w:line="400" w:lineRule="exact"/>
              <w:jc w:val="left"/>
              <w:rPr>
                <w:rFonts w:ascii="宋体" w:hAnsi="宋体"/>
                <w:color w:val="auto"/>
                <w:sz w:val="21"/>
                <w:szCs w:val="21"/>
              </w:rPr>
            </w:pPr>
            <w:r>
              <w:rPr>
                <w:rFonts w:hint="eastAsia" w:ascii="宋体" w:hAnsi="宋体"/>
                <w:color w:val="auto"/>
                <w:sz w:val="21"/>
                <w:szCs w:val="21"/>
              </w:rPr>
              <w:t xml:space="preserve"> （1）安装位置符合施工要求。</w:t>
            </w:r>
          </w:p>
          <w:p w14:paraId="3F200457">
            <w:pPr>
              <w:widowControl/>
              <w:spacing w:line="400" w:lineRule="exact"/>
              <w:jc w:val="left"/>
              <w:rPr>
                <w:rFonts w:ascii="宋体" w:hAnsi="宋体"/>
                <w:color w:val="auto"/>
                <w:sz w:val="21"/>
                <w:szCs w:val="21"/>
              </w:rPr>
            </w:pPr>
            <w:r>
              <w:rPr>
                <w:rFonts w:hint="eastAsia" w:ascii="宋体" w:hAnsi="宋体"/>
                <w:color w:val="auto"/>
                <w:sz w:val="21"/>
                <w:szCs w:val="21"/>
              </w:rPr>
              <w:t xml:space="preserve"> （2）固定应牢靠。</w:t>
            </w:r>
          </w:p>
          <w:p w14:paraId="6587DA53">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 （3）线缆接入设备箱时必须套管保护，无露线情况。</w:t>
            </w:r>
          </w:p>
        </w:tc>
      </w:tr>
    </w:tbl>
    <w:p w14:paraId="11FB9C26">
      <w:pPr>
        <w:spacing w:line="400" w:lineRule="exact"/>
        <w:rPr>
          <w:b/>
          <w:bCs/>
          <w:color w:val="auto"/>
          <w:sz w:val="24"/>
        </w:rPr>
      </w:pPr>
      <w:r>
        <w:rPr>
          <w:rFonts w:hint="eastAsia"/>
          <w:b/>
          <w:bCs/>
          <w:color w:val="auto"/>
          <w:sz w:val="24"/>
        </w:rPr>
        <w:t>四、合同主要条款</w:t>
      </w:r>
    </w:p>
    <w:p w14:paraId="7CA21B78">
      <w:pPr>
        <w:widowControl/>
        <w:spacing w:line="400" w:lineRule="exact"/>
        <w:textAlignment w:val="bottom"/>
        <w:rPr>
          <w:bCs/>
          <w:color w:val="auto"/>
          <w:sz w:val="24"/>
        </w:rPr>
      </w:pPr>
      <w:r>
        <w:rPr>
          <w:rFonts w:hint="eastAsia" w:ascii="宋体" w:hAnsi="宋体" w:cs="宋体"/>
          <w:bCs/>
          <w:color w:val="auto"/>
          <w:sz w:val="24"/>
        </w:rPr>
        <w:t>甲方：桂林市人民医院</w:t>
      </w:r>
    </w:p>
    <w:p w14:paraId="7204B73D">
      <w:pPr>
        <w:widowControl/>
        <w:spacing w:line="400" w:lineRule="exact"/>
        <w:textAlignment w:val="bottom"/>
        <w:rPr>
          <w:rFonts w:ascii="宋体" w:hAnsi="宋体" w:cs="宋体"/>
          <w:bCs/>
          <w:color w:val="auto"/>
          <w:sz w:val="24"/>
        </w:rPr>
      </w:pPr>
      <w:r>
        <w:rPr>
          <w:rFonts w:hint="eastAsia" w:ascii="宋体" w:hAnsi="宋体" w:cs="宋体"/>
          <w:bCs/>
          <w:color w:val="auto"/>
          <w:sz w:val="24"/>
        </w:rPr>
        <w:t>地址：</w:t>
      </w:r>
      <w:r>
        <w:rPr>
          <w:rFonts w:ascii="宋体" w:hAnsi="宋体" w:cs="宋体"/>
          <w:bCs/>
          <w:color w:val="auto"/>
          <w:sz w:val="24"/>
        </w:rPr>
        <w:t xml:space="preserve"> </w:t>
      </w:r>
      <w:r>
        <w:rPr>
          <w:rFonts w:hint="eastAsia" w:ascii="宋体" w:hAnsi="宋体" w:cs="宋体"/>
          <w:bCs/>
          <w:color w:val="auto"/>
          <w:sz w:val="24"/>
        </w:rPr>
        <w:t xml:space="preserve"> 广西壮族自治区桂林市象山区文明路12号</w:t>
      </w:r>
    </w:p>
    <w:p w14:paraId="39F687B0">
      <w:pPr>
        <w:widowControl/>
        <w:spacing w:line="400" w:lineRule="exact"/>
        <w:textAlignment w:val="bottom"/>
        <w:rPr>
          <w:rFonts w:ascii="宋体" w:hAnsi="宋体" w:cs="宋体"/>
          <w:bCs/>
          <w:color w:val="auto"/>
          <w:sz w:val="24"/>
        </w:rPr>
      </w:pPr>
      <w:r>
        <w:rPr>
          <w:rFonts w:hint="eastAsia" w:ascii="宋体" w:hAnsi="宋体" w:cs="宋体"/>
          <w:bCs/>
          <w:color w:val="auto"/>
          <w:sz w:val="24"/>
        </w:rPr>
        <w:t>法定代表/负责人：</w:t>
      </w:r>
    </w:p>
    <w:p w14:paraId="41C02D66">
      <w:pPr>
        <w:widowControl/>
        <w:spacing w:line="400" w:lineRule="exact"/>
        <w:textAlignment w:val="bottom"/>
        <w:rPr>
          <w:bCs/>
          <w:color w:val="auto"/>
          <w:sz w:val="24"/>
        </w:rPr>
      </w:pPr>
      <w:r>
        <w:rPr>
          <w:rFonts w:hint="eastAsia" w:ascii="宋体" w:hAnsi="宋体" w:cs="宋体"/>
          <w:bCs/>
          <w:color w:val="auto"/>
          <w:sz w:val="24"/>
        </w:rPr>
        <w:t>联系人：</w:t>
      </w:r>
      <w:r>
        <w:rPr>
          <w:bCs/>
          <w:color w:val="auto"/>
          <w:sz w:val="24"/>
        </w:rPr>
        <w:t xml:space="preserve"> </w:t>
      </w:r>
    </w:p>
    <w:p w14:paraId="049A8052">
      <w:pPr>
        <w:widowControl/>
        <w:spacing w:line="400" w:lineRule="exact"/>
        <w:textAlignment w:val="bottom"/>
        <w:rPr>
          <w:bCs/>
          <w:color w:val="auto"/>
          <w:sz w:val="24"/>
        </w:rPr>
      </w:pPr>
      <w:r>
        <w:rPr>
          <w:rFonts w:hint="eastAsia" w:ascii="宋体" w:hAnsi="宋体" w:cs="宋体"/>
          <w:bCs/>
          <w:color w:val="auto"/>
          <w:sz w:val="24"/>
        </w:rPr>
        <w:t>联系电话：</w:t>
      </w:r>
    </w:p>
    <w:p w14:paraId="36396A3C">
      <w:pPr>
        <w:widowControl/>
        <w:spacing w:line="400" w:lineRule="exact"/>
        <w:textAlignment w:val="bottom"/>
        <w:rPr>
          <w:rFonts w:ascii="宋体" w:hAnsi="宋体" w:cs="宋体"/>
          <w:bCs/>
          <w:color w:val="auto"/>
          <w:sz w:val="24"/>
        </w:rPr>
      </w:pPr>
      <w:r>
        <w:rPr>
          <w:rFonts w:hint="eastAsia" w:ascii="宋体" w:hAnsi="宋体" w:cs="宋体"/>
          <w:bCs/>
          <w:color w:val="auto"/>
          <w:sz w:val="24"/>
        </w:rPr>
        <w:t>乙方：</w:t>
      </w:r>
    </w:p>
    <w:p w14:paraId="53AD4C39">
      <w:pPr>
        <w:widowControl/>
        <w:spacing w:line="400" w:lineRule="exact"/>
        <w:textAlignment w:val="bottom"/>
        <w:rPr>
          <w:bCs/>
          <w:color w:val="auto"/>
          <w:sz w:val="24"/>
        </w:rPr>
      </w:pPr>
      <w:r>
        <w:rPr>
          <w:rFonts w:hint="eastAsia" w:ascii="宋体" w:hAnsi="宋体" w:cs="宋体"/>
          <w:bCs/>
          <w:color w:val="auto"/>
          <w:sz w:val="24"/>
        </w:rPr>
        <w:t>地址：</w:t>
      </w:r>
      <w:r>
        <w:rPr>
          <w:rFonts w:ascii="宋体" w:hAnsi="宋体" w:cs="宋体"/>
          <w:bCs/>
          <w:color w:val="auto"/>
          <w:sz w:val="24"/>
        </w:rPr>
        <w:t xml:space="preserve"> </w:t>
      </w:r>
    </w:p>
    <w:p w14:paraId="3A520B09">
      <w:pPr>
        <w:widowControl/>
        <w:spacing w:line="400" w:lineRule="exact"/>
        <w:textAlignment w:val="bottom"/>
        <w:rPr>
          <w:bCs/>
          <w:color w:val="auto"/>
          <w:sz w:val="24"/>
        </w:rPr>
      </w:pPr>
      <w:r>
        <w:rPr>
          <w:rFonts w:hint="eastAsia" w:ascii="宋体" w:hAnsi="宋体" w:cs="宋体"/>
          <w:bCs/>
          <w:color w:val="auto"/>
          <w:sz w:val="24"/>
        </w:rPr>
        <w:t>法定代表人/负责人：</w:t>
      </w:r>
      <w:r>
        <w:rPr>
          <w:bCs/>
          <w:color w:val="auto"/>
          <w:sz w:val="24"/>
        </w:rPr>
        <w:t xml:space="preserve"> </w:t>
      </w:r>
    </w:p>
    <w:p w14:paraId="787E3A6C">
      <w:pPr>
        <w:widowControl/>
        <w:spacing w:line="400" w:lineRule="exact"/>
        <w:textAlignment w:val="bottom"/>
        <w:rPr>
          <w:bCs/>
          <w:color w:val="auto"/>
          <w:sz w:val="24"/>
        </w:rPr>
      </w:pPr>
      <w:r>
        <w:rPr>
          <w:rFonts w:hint="eastAsia" w:ascii="宋体" w:hAnsi="宋体" w:cs="宋体"/>
          <w:bCs/>
          <w:color w:val="auto"/>
          <w:sz w:val="24"/>
        </w:rPr>
        <w:t>联系人：</w:t>
      </w:r>
      <w:r>
        <w:rPr>
          <w:bCs/>
          <w:color w:val="auto"/>
          <w:sz w:val="24"/>
        </w:rPr>
        <w:t xml:space="preserve"> </w:t>
      </w:r>
    </w:p>
    <w:p w14:paraId="1D943F7E">
      <w:pPr>
        <w:widowControl/>
        <w:spacing w:line="400" w:lineRule="exact"/>
        <w:textAlignment w:val="bottom"/>
        <w:rPr>
          <w:rFonts w:ascii="宋体" w:hAnsi="宋体" w:cs="宋体"/>
          <w:bCs/>
          <w:color w:val="auto"/>
          <w:sz w:val="24"/>
        </w:rPr>
      </w:pPr>
      <w:r>
        <w:rPr>
          <w:rFonts w:hint="eastAsia" w:ascii="宋体" w:hAnsi="宋体" w:cs="宋体"/>
          <w:bCs/>
          <w:color w:val="auto"/>
          <w:sz w:val="24"/>
        </w:rPr>
        <w:t>联系电话：</w:t>
      </w:r>
    </w:p>
    <w:p w14:paraId="5B547ACC">
      <w:pPr>
        <w:pStyle w:val="9"/>
        <w:spacing w:line="400" w:lineRule="exact"/>
        <w:rPr>
          <w:rFonts w:ascii="仿宋" w:hAnsi="仿宋" w:eastAsia="仿宋"/>
          <w:color w:val="auto"/>
          <w:szCs w:val="28"/>
        </w:rPr>
      </w:pPr>
    </w:p>
    <w:p w14:paraId="52F7BC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根据《中华人民共和国民法典》及其他有关法律、法规，遵循平等、自愿、公平和诚实信用的原则，甲乙双方就本桂林市人民医院网络综合布线服务工程事项协商一致，订立本合同，达成协议如下：</w:t>
      </w:r>
    </w:p>
    <w:p w14:paraId="05084769">
      <w:pPr>
        <w:spacing w:line="400" w:lineRule="exact"/>
        <w:rPr>
          <w:rFonts w:ascii="宋体" w:hAnsi="宋体"/>
          <w:b/>
          <w:color w:val="auto"/>
          <w:sz w:val="24"/>
        </w:rPr>
      </w:pPr>
      <w:r>
        <w:rPr>
          <w:rFonts w:hint="eastAsia" w:ascii="宋体" w:hAnsi="宋体"/>
          <w:b/>
          <w:color w:val="auto"/>
          <w:sz w:val="24"/>
        </w:rPr>
        <w:t>第一条</w:t>
      </w:r>
      <w:r>
        <w:rPr>
          <w:rFonts w:ascii="宋体" w:hAnsi="宋体"/>
          <w:b/>
          <w:color w:val="auto"/>
          <w:sz w:val="24"/>
        </w:rPr>
        <w:t xml:space="preserve">  </w:t>
      </w:r>
      <w:r>
        <w:rPr>
          <w:rFonts w:hint="eastAsia" w:ascii="宋体" w:hAnsi="宋体"/>
          <w:b/>
          <w:color w:val="auto"/>
          <w:sz w:val="24"/>
        </w:rPr>
        <w:t>合同内容及范围</w:t>
      </w:r>
    </w:p>
    <w:p w14:paraId="29A83BBF">
      <w:pPr>
        <w:spacing w:line="400" w:lineRule="exact"/>
        <w:rPr>
          <w:rFonts w:ascii="宋体" w:hAnsi="宋体"/>
          <w:color w:val="auto"/>
          <w:sz w:val="24"/>
        </w:rPr>
      </w:pPr>
      <w:r>
        <w:rPr>
          <w:rFonts w:hint="eastAsia" w:ascii="宋体" w:hAnsi="宋体"/>
          <w:color w:val="auto"/>
          <w:sz w:val="24"/>
        </w:rPr>
        <w:t>1.1合同概况：</w:t>
      </w:r>
    </w:p>
    <w:p w14:paraId="3608D57F">
      <w:pPr>
        <w:spacing w:line="400" w:lineRule="exact"/>
        <w:rPr>
          <w:rFonts w:ascii="宋体" w:hAnsi="宋体"/>
          <w:color w:val="auto"/>
          <w:sz w:val="24"/>
          <w:u w:val="single"/>
        </w:rPr>
      </w:pPr>
      <w:r>
        <w:rPr>
          <w:rFonts w:hint="eastAsia" w:ascii="宋体" w:hAnsi="宋体"/>
          <w:color w:val="auto"/>
          <w:sz w:val="24"/>
        </w:rPr>
        <w:t>内容：</w:t>
      </w:r>
    </w:p>
    <w:p w14:paraId="0BF32B14">
      <w:pPr>
        <w:spacing w:line="400" w:lineRule="exact"/>
        <w:rPr>
          <w:rFonts w:ascii="宋体" w:hAnsi="宋体"/>
          <w:color w:val="auto"/>
          <w:sz w:val="24"/>
        </w:rPr>
      </w:pPr>
      <w:r>
        <w:rPr>
          <w:rFonts w:hint="eastAsia" w:ascii="宋体" w:hAnsi="宋体"/>
          <w:color w:val="auto"/>
          <w:sz w:val="24"/>
        </w:rPr>
        <w:t>施工地点：</w:t>
      </w:r>
      <w:r>
        <w:rPr>
          <w:rFonts w:hint="eastAsia" w:ascii="宋体" w:hAnsi="宋体"/>
          <w:color w:val="auto"/>
          <w:sz w:val="24"/>
          <w:u w:val="single"/>
        </w:rPr>
        <w:t xml:space="preserve"> 桂林市人民医院 </w:t>
      </w:r>
    </w:p>
    <w:p w14:paraId="0AC84BC0">
      <w:pPr>
        <w:snapToGrid w:val="0"/>
        <w:spacing w:line="400" w:lineRule="exact"/>
        <w:rPr>
          <w:rFonts w:ascii="宋体" w:hAnsi="宋体"/>
          <w:color w:val="auto"/>
          <w:sz w:val="24"/>
        </w:rPr>
      </w:pPr>
      <w:r>
        <w:rPr>
          <w:rFonts w:hint="eastAsia" w:ascii="宋体" w:hAnsi="宋体"/>
          <w:color w:val="auto"/>
          <w:sz w:val="24"/>
        </w:rPr>
        <w:t>1.2零星网络布线工程范围：包工包料</w:t>
      </w:r>
      <w:r>
        <w:rPr>
          <w:rFonts w:ascii="宋体" w:hAnsi="宋体"/>
          <w:color w:val="auto"/>
          <w:sz w:val="24"/>
        </w:rPr>
        <w:t xml:space="preserve"> </w:t>
      </w:r>
    </w:p>
    <w:p w14:paraId="410EC20B">
      <w:pPr>
        <w:spacing w:line="400" w:lineRule="exact"/>
        <w:rPr>
          <w:rFonts w:ascii="宋体" w:hAnsi="宋体"/>
          <w:b/>
          <w:color w:val="auto"/>
          <w:sz w:val="24"/>
        </w:rPr>
      </w:pPr>
      <w:r>
        <w:rPr>
          <w:rFonts w:hint="eastAsia" w:ascii="宋体" w:hAnsi="宋体"/>
          <w:b/>
          <w:color w:val="auto"/>
          <w:sz w:val="24"/>
        </w:rPr>
        <w:t>第二条</w:t>
      </w:r>
      <w:r>
        <w:rPr>
          <w:rFonts w:ascii="宋体" w:hAnsi="宋体"/>
          <w:b/>
          <w:color w:val="auto"/>
          <w:sz w:val="24"/>
        </w:rPr>
        <w:t xml:space="preserve"> </w:t>
      </w:r>
      <w:r>
        <w:rPr>
          <w:rFonts w:hint="eastAsia" w:ascii="宋体" w:hAnsi="宋体"/>
          <w:b/>
          <w:color w:val="auto"/>
          <w:sz w:val="24"/>
        </w:rPr>
        <w:t xml:space="preserve"> </w:t>
      </w:r>
      <w:r>
        <w:rPr>
          <w:rFonts w:ascii="宋体" w:hAnsi="宋体"/>
          <w:b/>
          <w:color w:val="auto"/>
          <w:sz w:val="24"/>
        </w:rPr>
        <w:t xml:space="preserve"> </w:t>
      </w:r>
      <w:r>
        <w:rPr>
          <w:rFonts w:hint="eastAsia" w:ascii="宋体" w:hAnsi="宋体"/>
          <w:b/>
          <w:color w:val="auto"/>
          <w:sz w:val="24"/>
        </w:rPr>
        <w:t>交付使用时间</w:t>
      </w:r>
    </w:p>
    <w:p w14:paraId="6E36E9CC">
      <w:pPr>
        <w:spacing w:line="400" w:lineRule="exact"/>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 xml:space="preserve"> 交付验收时间：自接到医院货物采购需求7个日历日内送货上门并完成安装调试运行。（根据工程量大小可适当调整交付使用时间）</w:t>
      </w:r>
    </w:p>
    <w:p w14:paraId="4BB43417">
      <w:pPr>
        <w:spacing w:line="400" w:lineRule="exact"/>
        <w:rPr>
          <w:rFonts w:ascii="宋体" w:hAnsi="宋体"/>
          <w:color w:val="auto"/>
          <w:sz w:val="24"/>
        </w:rPr>
      </w:pPr>
      <w:r>
        <w:rPr>
          <w:rFonts w:ascii="宋体" w:hAnsi="宋体"/>
          <w:color w:val="auto"/>
          <w:sz w:val="24"/>
        </w:rPr>
        <w:t>2.</w:t>
      </w:r>
      <w:r>
        <w:rPr>
          <w:rFonts w:hint="eastAsia" w:ascii="宋体" w:hAnsi="宋体"/>
          <w:color w:val="auto"/>
          <w:sz w:val="24"/>
        </w:rPr>
        <w:t>2如因甲方原因、第三方阻扰或自然灾害、重大事件的发生，造成工程实施无法按时进行的，乙方不承担延误工期的责任。</w:t>
      </w:r>
    </w:p>
    <w:p w14:paraId="5B3F2F4B">
      <w:pPr>
        <w:spacing w:line="400" w:lineRule="exact"/>
        <w:rPr>
          <w:rFonts w:ascii="宋体" w:hAnsi="宋体"/>
          <w:color w:val="auto"/>
          <w:sz w:val="24"/>
        </w:rPr>
      </w:pPr>
      <w:r>
        <w:rPr>
          <w:rFonts w:hint="eastAsia" w:ascii="宋体" w:hAnsi="宋体"/>
          <w:b/>
          <w:color w:val="auto"/>
          <w:sz w:val="24"/>
        </w:rPr>
        <w:t>第三条</w:t>
      </w:r>
      <w:r>
        <w:rPr>
          <w:rFonts w:ascii="宋体" w:hAnsi="宋体"/>
          <w:b/>
          <w:color w:val="auto"/>
          <w:sz w:val="24"/>
        </w:rPr>
        <w:t xml:space="preserve">   </w:t>
      </w:r>
      <w:r>
        <w:rPr>
          <w:rFonts w:hint="eastAsia" w:ascii="宋体" w:hAnsi="宋体"/>
          <w:b/>
          <w:color w:val="auto"/>
          <w:sz w:val="24"/>
        </w:rPr>
        <w:t>合同价款</w:t>
      </w:r>
    </w:p>
    <w:p w14:paraId="22064164">
      <w:pPr>
        <w:spacing w:line="400" w:lineRule="exact"/>
        <w:rPr>
          <w:rFonts w:ascii="宋体" w:hAnsi="宋体"/>
          <w:color w:val="auto"/>
          <w:sz w:val="24"/>
        </w:rPr>
      </w:pPr>
      <w:r>
        <w:rPr>
          <w:rFonts w:hint="eastAsia" w:ascii="宋体" w:hAnsi="宋体"/>
          <w:color w:val="auto"/>
          <w:sz w:val="24"/>
        </w:rPr>
        <w:t>3.1按中标报价表明细进行结算，并根据报价表中的施工名称开具相应税率的增值税发票，详情见附件1：桂林市人民医院网络综合布线服务报价表。</w:t>
      </w:r>
    </w:p>
    <w:p w14:paraId="65075771">
      <w:pPr>
        <w:spacing w:line="400" w:lineRule="exact"/>
        <w:rPr>
          <w:rFonts w:ascii="宋体" w:hAnsi="宋体"/>
          <w:b/>
          <w:color w:val="auto"/>
          <w:sz w:val="24"/>
        </w:rPr>
      </w:pPr>
      <w:r>
        <w:rPr>
          <w:rFonts w:hint="eastAsia" w:ascii="宋体" w:hAnsi="宋体"/>
          <w:b/>
          <w:color w:val="auto"/>
          <w:sz w:val="24"/>
        </w:rPr>
        <w:t>第四条   付款方式</w:t>
      </w:r>
      <w:r>
        <w:rPr>
          <w:rFonts w:ascii="宋体" w:hAnsi="宋体"/>
          <w:b/>
          <w:color w:val="auto"/>
          <w:sz w:val="24"/>
        </w:rPr>
        <w:t xml:space="preserve"> </w:t>
      </w:r>
    </w:p>
    <w:p w14:paraId="65B27A24">
      <w:pPr>
        <w:spacing w:line="400" w:lineRule="exact"/>
        <w:rPr>
          <w:rFonts w:ascii="宋体" w:hAnsi="宋体"/>
          <w:color w:val="auto"/>
          <w:szCs w:val="21"/>
        </w:rPr>
      </w:pPr>
      <w:r>
        <w:rPr>
          <w:rFonts w:hint="eastAsia" w:ascii="宋体" w:hAnsi="宋体"/>
          <w:color w:val="auto"/>
          <w:sz w:val="24"/>
        </w:rPr>
        <w:t>4.1货款每（季度）结算一次，货物验收合格后，乙方按实际送货的数量及核实的结算总价款向甲方出具正规等额、有效发票，甲方自收到发票30个工作日后将全部货款支付给乙方。</w:t>
      </w:r>
    </w:p>
    <w:p w14:paraId="0B04AD18">
      <w:pPr>
        <w:spacing w:line="400" w:lineRule="exact"/>
        <w:rPr>
          <w:rFonts w:ascii="宋体" w:hAnsi="宋体"/>
          <w:color w:val="auto"/>
          <w:sz w:val="24"/>
        </w:rPr>
      </w:pPr>
      <w:r>
        <w:rPr>
          <w:rFonts w:hint="eastAsia" w:ascii="宋体" w:hAnsi="宋体"/>
          <w:color w:val="auto"/>
          <w:sz w:val="24"/>
        </w:rPr>
        <w:t>4.2乙方银行账户信息如下：</w:t>
      </w:r>
    </w:p>
    <w:p w14:paraId="4D71286A">
      <w:pPr>
        <w:snapToGrid w:val="0"/>
        <w:spacing w:line="400" w:lineRule="exact"/>
        <w:rPr>
          <w:rFonts w:ascii="宋体" w:hAnsi="宋体"/>
          <w:color w:val="auto"/>
          <w:sz w:val="24"/>
        </w:rPr>
      </w:pPr>
      <w:r>
        <w:rPr>
          <w:rFonts w:hint="eastAsia" w:ascii="宋体" w:hAnsi="宋体"/>
          <w:color w:val="auto"/>
          <w:sz w:val="24"/>
        </w:rPr>
        <w:t>开户行：</w:t>
      </w:r>
    </w:p>
    <w:p w14:paraId="09285B47">
      <w:pPr>
        <w:snapToGrid w:val="0"/>
        <w:spacing w:line="400" w:lineRule="exact"/>
        <w:rPr>
          <w:rFonts w:ascii="宋体" w:hAnsi="宋体"/>
          <w:color w:val="auto"/>
          <w:sz w:val="24"/>
        </w:rPr>
      </w:pPr>
      <w:r>
        <w:rPr>
          <w:rFonts w:hint="eastAsia" w:ascii="宋体" w:hAnsi="宋体"/>
          <w:color w:val="auto"/>
          <w:sz w:val="24"/>
        </w:rPr>
        <w:t xml:space="preserve">户名： </w:t>
      </w:r>
    </w:p>
    <w:p w14:paraId="6C42746E">
      <w:pPr>
        <w:snapToGrid w:val="0"/>
        <w:spacing w:line="400" w:lineRule="exact"/>
        <w:rPr>
          <w:rFonts w:ascii="宋体" w:hAnsi="宋体"/>
          <w:color w:val="auto"/>
          <w:sz w:val="24"/>
        </w:rPr>
      </w:pPr>
      <w:r>
        <w:rPr>
          <w:rFonts w:hint="eastAsia" w:ascii="宋体" w:hAnsi="宋体"/>
          <w:color w:val="auto"/>
          <w:sz w:val="24"/>
        </w:rPr>
        <w:t xml:space="preserve">账号： </w:t>
      </w:r>
    </w:p>
    <w:p w14:paraId="4C797E4C">
      <w:pPr>
        <w:spacing w:line="400" w:lineRule="exact"/>
        <w:rPr>
          <w:rFonts w:ascii="宋体" w:hAnsi="宋体"/>
          <w:b/>
          <w:color w:val="auto"/>
          <w:sz w:val="24"/>
        </w:rPr>
      </w:pPr>
      <w:r>
        <w:rPr>
          <w:rFonts w:hint="eastAsia" w:ascii="宋体" w:hAnsi="宋体"/>
          <w:b/>
          <w:color w:val="auto"/>
          <w:sz w:val="24"/>
        </w:rPr>
        <w:t>第五条   工程质量</w:t>
      </w:r>
    </w:p>
    <w:p w14:paraId="6BEEF775">
      <w:pPr>
        <w:spacing w:line="400" w:lineRule="exact"/>
        <w:rPr>
          <w:rFonts w:ascii="宋体" w:hAnsi="宋体"/>
          <w:color w:val="auto"/>
          <w:sz w:val="24"/>
        </w:rPr>
      </w:pPr>
      <w:r>
        <w:rPr>
          <w:rFonts w:hint="eastAsia" w:ascii="宋体" w:hAnsi="宋体"/>
          <w:color w:val="auto"/>
          <w:sz w:val="24"/>
        </w:rPr>
        <w:t>5.1工程质量按国家验收标准达到合格标准。</w:t>
      </w:r>
    </w:p>
    <w:p w14:paraId="49983924">
      <w:pPr>
        <w:spacing w:line="400" w:lineRule="exact"/>
        <w:rPr>
          <w:rFonts w:ascii="宋体" w:hAnsi="宋体"/>
          <w:color w:val="auto"/>
          <w:sz w:val="24"/>
        </w:rPr>
      </w:pPr>
      <w:r>
        <w:rPr>
          <w:rFonts w:hint="eastAsia" w:ascii="宋体" w:hAnsi="宋体"/>
          <w:color w:val="auto"/>
          <w:sz w:val="24"/>
        </w:rPr>
        <w:t>5.2乙方应当按照甲方提出的要求及国家有关规范的要求进行施工。新增网络线路按要求与医院现有网络进行调试，并能让甲方网络系统正常运行。</w:t>
      </w:r>
    </w:p>
    <w:p w14:paraId="6FD4FACF">
      <w:pPr>
        <w:spacing w:line="400" w:lineRule="exact"/>
        <w:rPr>
          <w:rFonts w:ascii="宋体" w:hAnsi="宋体"/>
          <w:b/>
          <w:color w:val="auto"/>
          <w:sz w:val="24"/>
        </w:rPr>
      </w:pPr>
      <w:r>
        <w:rPr>
          <w:rFonts w:hint="eastAsia" w:ascii="宋体" w:hAnsi="宋体"/>
          <w:b/>
          <w:color w:val="auto"/>
          <w:sz w:val="24"/>
        </w:rPr>
        <w:t>第六条   双方责任</w:t>
      </w:r>
    </w:p>
    <w:p w14:paraId="58A6C425">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甲方责任：</w:t>
      </w:r>
    </w:p>
    <w:p w14:paraId="10BF9D7B">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.1负责提供本次项目实施场地，负责现场实施的协调保障、情况交底。</w:t>
      </w:r>
    </w:p>
    <w:p w14:paraId="22092997">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.2负责按合同规定及时支付乙方合同款项。</w:t>
      </w:r>
    </w:p>
    <w:p w14:paraId="548D3848">
      <w:pPr>
        <w:spacing w:line="400" w:lineRule="exact"/>
        <w:rPr>
          <w:rFonts w:ascii="宋体" w:hAnsi="宋体"/>
          <w:color w:val="auto"/>
          <w:sz w:val="24"/>
        </w:rPr>
      </w:pPr>
      <w:r>
        <w:rPr>
          <w:rFonts w:hint="eastAsia" w:ascii="宋体" w:hAnsi="宋体"/>
          <w:color w:val="auto"/>
          <w:sz w:val="24"/>
        </w:rPr>
        <w:t>6.1.3项目实施期间协助对乙方工程进度等保护。</w:t>
      </w:r>
    </w:p>
    <w:p w14:paraId="48B5055C">
      <w:pPr>
        <w:spacing w:line="400" w:lineRule="exact"/>
        <w:rPr>
          <w:rFonts w:ascii="宋体" w:hAnsi="宋体"/>
          <w:color w:val="auto"/>
          <w:sz w:val="24"/>
        </w:rPr>
      </w:pPr>
      <w:r>
        <w:rPr>
          <w:rFonts w:hint="eastAsia" w:ascii="宋体" w:hAnsi="宋体"/>
          <w:color w:val="auto"/>
          <w:sz w:val="24"/>
        </w:rPr>
        <w:t>6.1.4负责其它影响施工进度的协调工作。</w:t>
      </w:r>
    </w:p>
    <w:p w14:paraId="639B8724">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.1.5</w:t>
      </w:r>
      <w:r>
        <w:rPr>
          <w:rFonts w:hint="eastAsia" w:ascii="宋体" w:hAnsi="宋体"/>
          <w:color w:val="auto"/>
          <w:sz w:val="24"/>
        </w:rPr>
        <w:t>积极配合乙方完成竣工后的工程验收和工作交接。</w:t>
      </w:r>
    </w:p>
    <w:p w14:paraId="609C5F6B">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乙方责任：</w:t>
      </w:r>
    </w:p>
    <w:p w14:paraId="6A0588ED">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.1根据合同要求完成甲方指定点位的工程实施要求。</w:t>
      </w:r>
    </w:p>
    <w:p w14:paraId="7162CC01">
      <w:pPr>
        <w:spacing w:line="400" w:lineRule="exact"/>
        <w:rPr>
          <w:rFonts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.2指派项目经理并确定施工组织结构、人员组成、联系人电话等，以便及时处理现场施工的有关事宜。</w:t>
      </w:r>
    </w:p>
    <w:p w14:paraId="76392F62">
      <w:pPr>
        <w:spacing w:line="400" w:lineRule="exact"/>
        <w:rPr>
          <w:rFonts w:ascii="宋体" w:hAnsi="宋体"/>
          <w:color w:val="auto"/>
          <w:sz w:val="24"/>
        </w:rPr>
      </w:pPr>
      <w:r>
        <w:rPr>
          <w:rFonts w:hint="eastAsia" w:ascii="宋体" w:hAnsi="宋体"/>
          <w:color w:val="auto"/>
          <w:sz w:val="24"/>
        </w:rPr>
        <w:t>6.2.</w:t>
      </w:r>
      <w:r>
        <w:rPr>
          <w:rFonts w:ascii="宋体" w:hAnsi="宋体"/>
          <w:color w:val="auto"/>
          <w:sz w:val="24"/>
        </w:rPr>
        <w:t>3</w:t>
      </w:r>
      <w:r>
        <w:rPr>
          <w:rFonts w:hint="eastAsia" w:ascii="宋体" w:hAnsi="宋体"/>
          <w:color w:val="auto"/>
          <w:sz w:val="24"/>
        </w:rPr>
        <w:t>乙方应及时整理和安排所有机械、工具、材料等，做到工完场清，以上物品在不需用时应按甲方要求清理出工地。</w:t>
      </w:r>
    </w:p>
    <w:p w14:paraId="0ADBA789">
      <w:pPr>
        <w:spacing w:line="400" w:lineRule="exact"/>
        <w:rPr>
          <w:rFonts w:ascii="宋体" w:hAnsi="宋体"/>
          <w:b/>
          <w:color w:val="auto"/>
          <w:sz w:val="24"/>
        </w:rPr>
      </w:pPr>
      <w:r>
        <w:rPr>
          <w:rFonts w:hint="eastAsia" w:ascii="宋体" w:hAnsi="宋体"/>
          <w:b/>
          <w:color w:val="auto"/>
          <w:sz w:val="24"/>
        </w:rPr>
        <w:t>第七条</w:t>
      </w:r>
      <w:r>
        <w:rPr>
          <w:rFonts w:ascii="宋体" w:hAnsi="宋体"/>
          <w:b/>
          <w:color w:val="auto"/>
          <w:sz w:val="24"/>
        </w:rPr>
        <w:t xml:space="preserve">   </w:t>
      </w:r>
      <w:r>
        <w:rPr>
          <w:rFonts w:hint="eastAsia" w:ascii="宋体" w:hAnsi="宋体"/>
          <w:b/>
          <w:color w:val="auto"/>
          <w:sz w:val="24"/>
        </w:rPr>
        <w:t>竣工验收</w:t>
      </w:r>
    </w:p>
    <w:p w14:paraId="27B6D9A9">
      <w:pPr>
        <w:spacing w:line="400" w:lineRule="exact"/>
        <w:rPr>
          <w:rFonts w:ascii="宋体" w:hAnsi="宋体"/>
          <w:color w:val="auto"/>
          <w:sz w:val="24"/>
        </w:rPr>
      </w:pPr>
      <w:r>
        <w:rPr>
          <w:rFonts w:hint="eastAsia" w:ascii="宋体" w:hAnsi="宋体"/>
          <w:color w:val="auto"/>
          <w:sz w:val="24"/>
        </w:rPr>
        <w:t>7</w:t>
      </w:r>
      <w:r>
        <w:rPr>
          <w:rFonts w:ascii="宋体" w:hAnsi="宋体"/>
          <w:color w:val="auto"/>
          <w:sz w:val="24"/>
        </w:rPr>
        <w:t>.1</w:t>
      </w:r>
      <w:r>
        <w:rPr>
          <w:rFonts w:hint="eastAsia" w:ascii="宋体" w:hAnsi="宋体"/>
          <w:color w:val="auto"/>
          <w:sz w:val="24"/>
        </w:rPr>
        <w:t>综合布线项目：本次桂林市人民医院网络综合布线服务。</w:t>
      </w:r>
    </w:p>
    <w:p w14:paraId="2CC8E649">
      <w:pPr>
        <w:spacing w:line="400" w:lineRule="exact"/>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验收通过后，甲乙双方签署《桂林市人民医院综合布线零星工程采购决算单》（详见附件２），甲方由使用部门及信息科的主要负责人共同签字确认，乙方由施工单位授权负责人签字确认。</w:t>
      </w:r>
    </w:p>
    <w:p w14:paraId="323759B5">
      <w:pPr>
        <w:snapToGrid w:val="0"/>
        <w:spacing w:line="400" w:lineRule="exact"/>
        <w:rPr>
          <w:rFonts w:ascii="宋体" w:hAnsi="宋体"/>
          <w:color w:val="auto"/>
          <w:sz w:val="24"/>
        </w:rPr>
      </w:pPr>
      <w:r>
        <w:rPr>
          <w:rFonts w:hint="eastAsia" w:ascii="宋体" w:hAnsi="宋体"/>
          <w:b/>
          <w:color w:val="auto"/>
          <w:sz w:val="24"/>
        </w:rPr>
        <w:t>第八条   工程保修</w:t>
      </w:r>
    </w:p>
    <w:p w14:paraId="107950C5">
      <w:pPr>
        <w:spacing w:line="400" w:lineRule="exact"/>
        <w:rPr>
          <w:rFonts w:ascii="宋体" w:hAnsi="宋体"/>
          <w:color w:val="auto"/>
          <w:sz w:val="24"/>
        </w:rPr>
      </w:pPr>
      <w:r>
        <w:rPr>
          <w:rFonts w:hint="eastAsia" w:ascii="宋体" w:hAnsi="宋体"/>
          <w:color w:val="auto"/>
          <w:sz w:val="24"/>
        </w:rPr>
        <w:t>8.1本项目的保修期：</w:t>
      </w:r>
      <w:r>
        <w:rPr>
          <w:rFonts w:hint="eastAsia" w:ascii="宋体" w:hAnsi="宋体"/>
          <w:color w:val="auto"/>
          <w:sz w:val="24"/>
          <w:u w:val="single"/>
        </w:rPr>
        <w:t>壹年</w:t>
      </w:r>
      <w:r>
        <w:rPr>
          <w:rFonts w:hint="eastAsia" w:ascii="宋体" w:hAnsi="宋体"/>
          <w:color w:val="auto"/>
          <w:sz w:val="24"/>
        </w:rPr>
        <w:t>，免费保修期自点位工程竣工验收合格之日起计算。</w:t>
      </w:r>
    </w:p>
    <w:p w14:paraId="191C4B25">
      <w:pPr>
        <w:spacing w:line="400" w:lineRule="exact"/>
        <w:ind w:left="-2" w:leftChars="-1"/>
        <w:rPr>
          <w:rFonts w:ascii="宋体" w:hAnsi="宋体"/>
          <w:color w:val="auto"/>
          <w:sz w:val="24"/>
        </w:rPr>
      </w:pPr>
      <w:r>
        <w:rPr>
          <w:rFonts w:hint="eastAsia" w:ascii="宋体" w:hAnsi="宋体"/>
          <w:color w:val="auto"/>
          <w:sz w:val="24"/>
        </w:rPr>
        <w:t>8</w:t>
      </w:r>
      <w:r>
        <w:rPr>
          <w:rFonts w:ascii="宋体" w:hAnsi="宋体"/>
          <w:color w:val="auto"/>
          <w:sz w:val="24"/>
        </w:rPr>
        <w:t>.</w:t>
      </w:r>
      <w:r>
        <w:rPr>
          <w:rFonts w:hint="eastAsia" w:ascii="宋体" w:hAnsi="宋体"/>
          <w:color w:val="auto"/>
          <w:sz w:val="24"/>
        </w:rPr>
        <w:t>2保修期间，乙方对产品质量负全部责任，因产品或安装质量原因对甲方造成的所有其他经济损失概由乙方负责。</w:t>
      </w:r>
    </w:p>
    <w:p w14:paraId="6D7B790B">
      <w:pPr>
        <w:spacing w:line="400" w:lineRule="exact"/>
        <w:ind w:left="-2" w:leftChars="-1"/>
        <w:rPr>
          <w:rFonts w:ascii="宋体" w:hAnsi="宋体"/>
          <w:color w:val="auto"/>
          <w:sz w:val="24"/>
        </w:rPr>
      </w:pPr>
      <w:r>
        <w:rPr>
          <w:rFonts w:hint="eastAsia" w:ascii="宋体" w:hAnsi="宋体"/>
          <w:color w:val="auto"/>
          <w:sz w:val="24"/>
        </w:rPr>
        <w:t>8</w:t>
      </w:r>
      <w:r>
        <w:rPr>
          <w:rFonts w:ascii="宋体" w:hAnsi="宋体"/>
          <w:color w:val="auto"/>
          <w:sz w:val="24"/>
        </w:rPr>
        <w:t>.</w:t>
      </w:r>
      <w:r>
        <w:rPr>
          <w:rFonts w:hint="eastAsia" w:ascii="宋体" w:hAnsi="宋体"/>
          <w:color w:val="auto"/>
          <w:sz w:val="24"/>
        </w:rPr>
        <w:t>3乙方应保证保修的及时性，在收到甲方或甲方委托人通知后，市内立刻响应，为用户提供7*24（按每周7天计，每天提供24小时服务）小时技术服务热线，24小时不间断服务电话值班，报修后2小时内到达现场解决问题，上门修复时间4小时。如在此时间段未能解决问题，乙方将给用户提供同档次的备用机和代用机或尊重用户意愿提供相应免费服务，每月定期安排服务回访，维护工作。乙方将安排技术工程师按国家及行业标准对故障进行及时处理；同时，我们将尊重用户的意愿和要求，选择售后服务方式。</w:t>
      </w:r>
    </w:p>
    <w:p w14:paraId="34DF9A73">
      <w:pPr>
        <w:spacing w:line="400" w:lineRule="exact"/>
        <w:ind w:left="-2" w:leftChars="-1"/>
        <w:rPr>
          <w:rFonts w:ascii="宋体" w:hAnsi="宋体"/>
          <w:color w:val="auto"/>
          <w:sz w:val="24"/>
        </w:rPr>
      </w:pPr>
      <w:r>
        <w:rPr>
          <w:rFonts w:hint="eastAsia" w:ascii="宋体" w:hAnsi="宋体"/>
          <w:color w:val="auto"/>
          <w:sz w:val="24"/>
        </w:rPr>
        <w:t>8</w:t>
      </w:r>
      <w:r>
        <w:rPr>
          <w:rFonts w:ascii="宋体" w:hAnsi="宋体"/>
          <w:color w:val="auto"/>
          <w:sz w:val="24"/>
        </w:rPr>
        <w:t>.</w:t>
      </w:r>
      <w:r>
        <w:rPr>
          <w:rFonts w:hint="eastAsia" w:ascii="宋体" w:hAnsi="宋体"/>
          <w:color w:val="auto"/>
          <w:sz w:val="24"/>
        </w:rPr>
        <w:t>4乙方保修工作人员应遵守甲方的规章制度，做到现场文明施工，举止礼貌，完工清场。</w:t>
      </w:r>
    </w:p>
    <w:p w14:paraId="01350692">
      <w:pPr>
        <w:snapToGrid w:val="0"/>
        <w:spacing w:line="400" w:lineRule="exact"/>
        <w:rPr>
          <w:rFonts w:ascii="宋体" w:hAnsi="宋体"/>
          <w:b/>
          <w:color w:val="auto"/>
          <w:sz w:val="24"/>
        </w:rPr>
      </w:pPr>
      <w:r>
        <w:rPr>
          <w:rFonts w:hint="eastAsia" w:ascii="宋体" w:hAnsi="宋体"/>
          <w:b/>
          <w:color w:val="auto"/>
          <w:sz w:val="24"/>
        </w:rPr>
        <w:t>第九条   违约责任和奖罚</w:t>
      </w:r>
    </w:p>
    <w:p w14:paraId="6A49CBE1">
      <w:pPr>
        <w:snapToGrid w:val="0"/>
        <w:spacing w:line="400" w:lineRule="exact"/>
        <w:rPr>
          <w:rFonts w:ascii="宋体" w:hAnsi="宋体"/>
          <w:color w:val="auto"/>
          <w:sz w:val="24"/>
        </w:rPr>
      </w:pPr>
      <w:r>
        <w:rPr>
          <w:rFonts w:hint="eastAsia" w:ascii="宋体" w:hAnsi="宋体"/>
          <w:color w:val="auto"/>
          <w:sz w:val="24"/>
        </w:rPr>
        <w:t>9</w:t>
      </w:r>
      <w:r>
        <w:rPr>
          <w:rFonts w:ascii="宋体" w:hAnsi="宋体"/>
          <w:color w:val="auto"/>
          <w:sz w:val="24"/>
        </w:rPr>
        <w:t>.1</w:t>
      </w:r>
      <w:r>
        <w:rPr>
          <w:rFonts w:hint="eastAsia" w:ascii="宋体" w:hAnsi="宋体"/>
          <w:color w:val="auto"/>
          <w:sz w:val="24"/>
        </w:rPr>
        <w:t>若乙方未按合同规定的时间进场、安装、组织验收，则工期每拖延一天，甲方对乙方处罚1000元，若延迟时间超过</w:t>
      </w:r>
      <w:r>
        <w:rPr>
          <w:rFonts w:hint="eastAsia" w:ascii="宋体" w:hAnsi="宋体"/>
          <w:color w:val="auto"/>
          <w:sz w:val="24"/>
          <w:u w:val="single"/>
        </w:rPr>
        <w:t>25</w:t>
      </w:r>
      <w:r>
        <w:rPr>
          <w:rFonts w:hint="eastAsia" w:ascii="宋体" w:hAnsi="宋体"/>
          <w:color w:val="auto"/>
          <w:sz w:val="24"/>
        </w:rPr>
        <w:t>天，甲方有权终止合同并向乙方索赔因此造成的相关损失（非乙方原因除外）。</w:t>
      </w:r>
    </w:p>
    <w:p w14:paraId="2C1F6376">
      <w:pPr>
        <w:snapToGrid w:val="0"/>
        <w:spacing w:line="400" w:lineRule="exact"/>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如本工程竣工验收质量未达到本合同约定的标准，甲方对乙方处以合同价款千分之</w:t>
      </w:r>
      <w:r>
        <w:rPr>
          <w:rFonts w:hint="eastAsia" w:ascii="宋体" w:hAnsi="宋体"/>
          <w:color w:val="auto"/>
          <w:sz w:val="24"/>
          <w:u w:val="single"/>
        </w:rPr>
        <w:t>一</w:t>
      </w:r>
      <w:r>
        <w:rPr>
          <w:rFonts w:hint="eastAsia" w:ascii="宋体" w:hAnsi="宋体"/>
          <w:color w:val="auto"/>
          <w:sz w:val="24"/>
        </w:rPr>
        <w:t>的罚款，并且乙方自费返修至合同约定的质量标准，乙方尚须赔偿对甲方所造成的损失。</w:t>
      </w:r>
    </w:p>
    <w:p w14:paraId="4B377A50">
      <w:pPr>
        <w:spacing w:line="400" w:lineRule="exact"/>
        <w:rPr>
          <w:rFonts w:ascii="宋体" w:hAnsi="宋体"/>
          <w:color w:val="auto"/>
          <w:sz w:val="24"/>
        </w:rPr>
      </w:pPr>
      <w:r>
        <w:rPr>
          <w:rFonts w:hint="eastAsia" w:ascii="宋体" w:hAnsi="宋体"/>
          <w:color w:val="auto"/>
          <w:sz w:val="24"/>
        </w:rPr>
        <w:t>9.3、如因一方原因单方面终止合同的，该方同意向另一方支付合同暂定总造价10%的违约金。</w:t>
      </w:r>
    </w:p>
    <w:p w14:paraId="2A5C1DBD">
      <w:pPr>
        <w:snapToGrid w:val="0"/>
        <w:spacing w:line="400" w:lineRule="exact"/>
        <w:rPr>
          <w:rFonts w:ascii="宋体" w:hAnsi="宋体"/>
          <w:color w:val="auto"/>
          <w:sz w:val="24"/>
        </w:rPr>
      </w:pPr>
      <w:r>
        <w:rPr>
          <w:rFonts w:hint="eastAsia" w:ascii="宋体" w:hAnsi="宋体"/>
          <w:color w:val="auto"/>
          <w:sz w:val="24"/>
        </w:rPr>
        <w:t>9.4甲方未能按时支付合同款，甲方需按银行同期贷款利率赔偿拖欠款项的利息，工期相应</w:t>
      </w:r>
    </w:p>
    <w:p w14:paraId="2AEDAADC">
      <w:pPr>
        <w:snapToGrid w:val="0"/>
        <w:spacing w:line="400" w:lineRule="exact"/>
        <w:rPr>
          <w:rFonts w:ascii="宋体" w:hAnsi="宋体"/>
          <w:color w:val="auto"/>
          <w:sz w:val="24"/>
        </w:rPr>
      </w:pPr>
      <w:r>
        <w:rPr>
          <w:rFonts w:hint="eastAsia" w:ascii="宋体" w:hAnsi="宋体"/>
          <w:color w:val="auto"/>
          <w:sz w:val="24"/>
        </w:rPr>
        <w:t>调整。</w:t>
      </w:r>
    </w:p>
    <w:p w14:paraId="7AC09388">
      <w:pPr>
        <w:snapToGrid w:val="0"/>
        <w:spacing w:line="400" w:lineRule="exact"/>
        <w:rPr>
          <w:rFonts w:ascii="宋体" w:hAnsi="宋体"/>
          <w:color w:val="auto"/>
          <w:sz w:val="24"/>
        </w:rPr>
      </w:pPr>
      <w:r>
        <w:rPr>
          <w:rFonts w:hint="eastAsia" w:ascii="宋体" w:hAnsi="宋体"/>
          <w:color w:val="auto"/>
          <w:sz w:val="24"/>
        </w:rPr>
        <w:t>9.5乙方应该开具真实的发票，一旦查出发票作假，甲方有权解除协议并且甲方有权利不支付该笔发票款项。</w:t>
      </w:r>
    </w:p>
    <w:p w14:paraId="48E8D1E6">
      <w:pPr>
        <w:spacing w:line="400" w:lineRule="exact"/>
        <w:rPr>
          <w:rFonts w:ascii="宋体" w:hAnsi="宋体"/>
          <w:b/>
          <w:color w:val="auto"/>
          <w:sz w:val="24"/>
        </w:rPr>
      </w:pPr>
      <w:r>
        <w:rPr>
          <w:rFonts w:hint="eastAsia" w:ascii="宋体" w:hAnsi="宋体"/>
          <w:b/>
          <w:color w:val="auto"/>
          <w:sz w:val="24"/>
        </w:rPr>
        <w:t>第十条  争议裁决</w:t>
      </w:r>
    </w:p>
    <w:p w14:paraId="26C94A62">
      <w:pPr>
        <w:spacing w:line="400" w:lineRule="exact"/>
        <w:ind w:firstLine="480" w:firstLineChars="200"/>
        <w:rPr>
          <w:rFonts w:ascii="宋体" w:hAnsi="宋体"/>
          <w:b/>
          <w:bCs/>
          <w:color w:val="auto"/>
          <w:sz w:val="24"/>
        </w:rPr>
      </w:pPr>
      <w:r>
        <w:rPr>
          <w:rFonts w:hint="eastAsia" w:ascii="宋体" w:hAnsi="宋体"/>
          <w:color w:val="auto"/>
          <w:sz w:val="24"/>
        </w:rPr>
        <w:t>因本合同引起的或与本合同有关的任何争议，应本着互让互惠的原则友好协商解决。若协商不成，可向甲方所在地有管辖权的人民法院提请诉讼。</w:t>
      </w:r>
    </w:p>
    <w:p w14:paraId="133765AD">
      <w:pPr>
        <w:spacing w:line="400" w:lineRule="exact"/>
        <w:rPr>
          <w:rFonts w:ascii="宋体" w:hAnsi="宋体"/>
          <w:b/>
          <w:bCs/>
          <w:color w:val="auto"/>
          <w:sz w:val="24"/>
        </w:rPr>
      </w:pPr>
      <w:r>
        <w:rPr>
          <w:rFonts w:hint="eastAsia" w:ascii="宋体" w:hAnsi="宋体"/>
          <w:b/>
          <w:color w:val="auto"/>
          <w:sz w:val="24"/>
        </w:rPr>
        <w:t xml:space="preserve">第十一条 </w:t>
      </w:r>
      <w:r>
        <w:rPr>
          <w:rFonts w:ascii="宋体" w:hAnsi="宋体"/>
          <w:b/>
          <w:color w:val="auto"/>
          <w:sz w:val="24"/>
        </w:rPr>
        <w:t xml:space="preserve"> </w:t>
      </w:r>
      <w:r>
        <w:rPr>
          <w:rFonts w:hint="eastAsia" w:ascii="宋体" w:hAnsi="宋体"/>
          <w:b/>
          <w:bCs/>
          <w:color w:val="auto"/>
          <w:sz w:val="24"/>
        </w:rPr>
        <w:t>其他</w:t>
      </w:r>
    </w:p>
    <w:p w14:paraId="4F4449AE">
      <w:pPr>
        <w:tabs>
          <w:tab w:val="left" w:pos="1546"/>
        </w:tabs>
        <w:spacing w:line="400" w:lineRule="exact"/>
        <w:ind w:firstLine="480" w:firstLineChars="200"/>
        <w:rPr>
          <w:rFonts w:ascii="宋体" w:hAnsi="宋体"/>
          <w:color w:val="auto"/>
          <w:sz w:val="24"/>
        </w:rPr>
      </w:pPr>
      <w:r>
        <w:rPr>
          <w:rFonts w:hint="eastAsia" w:ascii="宋体" w:hAnsi="宋体"/>
          <w:color w:val="auto"/>
          <w:sz w:val="24"/>
        </w:rPr>
        <w:t>11.1合同经双方签字盖章后立即生效，有效期[壹]年。本合同一式肆份，甲乙双方各执贰份，具有同等法律效力。</w:t>
      </w:r>
    </w:p>
    <w:p w14:paraId="09CB7C05">
      <w:pPr>
        <w:tabs>
          <w:tab w:val="left" w:pos="1546"/>
        </w:tabs>
        <w:spacing w:line="400" w:lineRule="exact"/>
        <w:ind w:firstLine="480" w:firstLineChars="200"/>
        <w:rPr>
          <w:rFonts w:ascii="宋体" w:hAnsi="宋体"/>
          <w:color w:val="auto"/>
          <w:sz w:val="24"/>
        </w:rPr>
      </w:pPr>
      <w:r>
        <w:rPr>
          <w:rFonts w:hint="eastAsia" w:ascii="宋体" w:hAnsi="宋体"/>
          <w:color w:val="auto"/>
          <w:sz w:val="24"/>
        </w:rPr>
        <w:t>11.2本合同未尽事宜，双方同意另行友好协商加以解决。</w:t>
      </w:r>
    </w:p>
    <w:p w14:paraId="5E617D31">
      <w:pPr>
        <w:tabs>
          <w:tab w:val="left" w:pos="1546"/>
        </w:tabs>
        <w:spacing w:line="400" w:lineRule="exact"/>
        <w:ind w:firstLine="480" w:firstLineChars="200"/>
        <w:rPr>
          <w:rFonts w:ascii="宋体" w:hAnsi="宋体"/>
          <w:color w:val="auto"/>
          <w:sz w:val="24"/>
        </w:rPr>
      </w:pPr>
      <w:r>
        <w:rPr>
          <w:rFonts w:hint="eastAsia" w:ascii="宋体" w:hAnsi="宋体"/>
          <w:color w:val="auto"/>
          <w:sz w:val="24"/>
        </w:rPr>
        <w:t>11.3本协议附件内容为本协议不可分割的组成部分，与本协议具有同等法律效力。</w:t>
      </w:r>
    </w:p>
    <w:p w14:paraId="5D0CB58A">
      <w:pPr>
        <w:tabs>
          <w:tab w:val="left" w:pos="1546"/>
        </w:tabs>
        <w:spacing w:line="400" w:lineRule="exact"/>
        <w:ind w:firstLine="480" w:firstLineChars="200"/>
        <w:rPr>
          <w:rFonts w:ascii="宋体" w:hAnsi="宋体"/>
          <w:color w:val="auto"/>
          <w:sz w:val="24"/>
        </w:rPr>
      </w:pPr>
      <w:r>
        <w:rPr>
          <w:rFonts w:hint="eastAsia" w:ascii="宋体" w:hAnsi="宋体"/>
          <w:color w:val="auto"/>
          <w:sz w:val="24"/>
        </w:rPr>
        <w:t>本合同的附件为：《附件1：桂林市人民医院网络综合布线服务采购报价表》、《附件2：桂林市人民医院综合布线零星工程采购决算单》</w:t>
      </w:r>
    </w:p>
    <w:p w14:paraId="456CD999">
      <w:pPr>
        <w:widowControl/>
        <w:adjustRightInd w:val="0"/>
        <w:snapToGrid w:val="0"/>
        <w:spacing w:line="400" w:lineRule="exact"/>
        <w:ind w:firstLine="1000" w:firstLineChars="417"/>
        <w:textAlignment w:val="bottom"/>
        <w:rPr>
          <w:rFonts w:ascii="宋体" w:hAnsi="宋体" w:cs="宋体"/>
          <w:color w:val="auto"/>
          <w:sz w:val="24"/>
        </w:rPr>
      </w:pPr>
      <w:r>
        <w:rPr>
          <w:rFonts w:hint="eastAsia" w:ascii="宋体" w:hAnsi="宋体"/>
          <w:color w:val="auto"/>
          <w:sz w:val="24"/>
        </w:rPr>
        <w:t xml:space="preserve">   </w:t>
      </w:r>
    </w:p>
    <w:p w14:paraId="7BE49021">
      <w:pPr>
        <w:widowControl/>
        <w:adjustRightInd w:val="0"/>
        <w:snapToGrid w:val="0"/>
        <w:spacing w:line="400" w:lineRule="exact"/>
        <w:ind w:firstLine="141" w:firstLineChars="59"/>
        <w:textAlignment w:val="bottom"/>
        <w:rPr>
          <w:rFonts w:ascii="宋体" w:hAnsi="宋体" w:cs="宋体"/>
          <w:color w:val="auto"/>
          <w:sz w:val="24"/>
        </w:rPr>
      </w:pPr>
      <w:r>
        <w:rPr>
          <w:rFonts w:hint="eastAsia" w:ascii="宋体" w:hAnsi="宋体" w:cs="宋体"/>
          <w:color w:val="auto"/>
          <w:sz w:val="24"/>
        </w:rPr>
        <w:t>甲方（盖章）：</w:t>
      </w:r>
      <w:r>
        <w:rPr>
          <w:rFonts w:ascii="宋体" w:hAnsi="宋体" w:cs="宋体"/>
          <w:color w:val="auto"/>
          <w:sz w:val="24"/>
        </w:rPr>
        <w:t xml:space="preserve">                      </w:t>
      </w:r>
      <w:r>
        <w:rPr>
          <w:rFonts w:hint="eastAsia" w:ascii="宋体" w:hAnsi="宋体" w:cs="宋体"/>
          <w:color w:val="auto"/>
          <w:sz w:val="24"/>
        </w:rPr>
        <w:t xml:space="preserve">   乙方（盖章）：</w:t>
      </w:r>
    </w:p>
    <w:p w14:paraId="0F4743C1">
      <w:pPr>
        <w:widowControl/>
        <w:adjustRightInd w:val="0"/>
        <w:snapToGrid w:val="0"/>
        <w:spacing w:line="400" w:lineRule="exact"/>
        <w:ind w:firstLine="141" w:firstLineChars="59"/>
        <w:jc w:val="left"/>
        <w:textAlignment w:val="bottom"/>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法定代表</w:t>
      </w:r>
      <w:r>
        <w:rPr>
          <w:rFonts w:ascii="宋体" w:hAnsi="宋体" w:cs="宋体"/>
          <w:color w:val="auto"/>
          <w:sz w:val="24"/>
        </w:rPr>
        <w:t>/</w:t>
      </w:r>
      <w:r>
        <w:rPr>
          <w:rFonts w:hint="eastAsia" w:ascii="宋体" w:hAnsi="宋体" w:cs="宋体"/>
          <w:color w:val="auto"/>
          <w:sz w:val="24"/>
        </w:rPr>
        <w:t>授权代表（签字）：            法定代表</w:t>
      </w:r>
      <w:r>
        <w:rPr>
          <w:rFonts w:ascii="宋体" w:hAnsi="宋体" w:cs="宋体"/>
          <w:color w:val="auto"/>
          <w:sz w:val="24"/>
        </w:rPr>
        <w:t>/</w:t>
      </w:r>
      <w:r>
        <w:rPr>
          <w:rFonts w:hint="eastAsia" w:ascii="宋体" w:hAnsi="宋体" w:cs="宋体"/>
          <w:color w:val="auto"/>
          <w:sz w:val="24"/>
        </w:rPr>
        <w:t>授权代表（签字）：</w:t>
      </w:r>
    </w:p>
    <w:p w14:paraId="3BFF0833">
      <w:pPr>
        <w:widowControl/>
        <w:adjustRightInd w:val="0"/>
        <w:snapToGrid w:val="0"/>
        <w:spacing w:line="400" w:lineRule="exact"/>
        <w:textAlignment w:val="bottom"/>
        <w:rPr>
          <w:rFonts w:ascii="宋体" w:hAnsi="宋体" w:cs="宋体"/>
          <w:color w:val="auto"/>
          <w:sz w:val="24"/>
        </w:rPr>
      </w:pPr>
      <w:r>
        <w:rPr>
          <w:rFonts w:hint="eastAsia" w:ascii="宋体" w:hAnsi="宋体" w:cs="宋体"/>
          <w:color w:val="auto"/>
          <w:sz w:val="24"/>
        </w:rPr>
        <w:t xml:space="preserve"> </w:t>
      </w:r>
    </w:p>
    <w:p w14:paraId="41EA5223">
      <w:pPr>
        <w:widowControl/>
        <w:adjustRightInd w:val="0"/>
        <w:snapToGrid w:val="0"/>
        <w:spacing w:line="400" w:lineRule="exact"/>
        <w:ind w:firstLine="600" w:firstLineChars="250"/>
        <w:textAlignment w:val="bottom"/>
        <w:rPr>
          <w:rFonts w:ascii="宋体" w:hAnsi="宋体" w:cs="宋体"/>
          <w:color w:val="auto"/>
          <w:sz w:val="24"/>
        </w:rPr>
        <w:sectPr>
          <w:pgSz w:w="11906" w:h="16838"/>
          <w:pgMar w:top="1134" w:right="1134" w:bottom="850" w:left="1134" w:header="0" w:footer="567" w:gutter="0"/>
          <w:pgNumType w:fmt="numberInDash"/>
          <w:cols w:space="0" w:num="1"/>
          <w:rtlGutter w:val="0"/>
          <w:docGrid w:type="lines" w:linePitch="312" w:charSpace="0"/>
        </w:sectPr>
      </w:pP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rPr>
        <w:t xml:space="preserve">           年</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14:paraId="555DD8BD">
      <w:pPr>
        <w:pStyle w:val="2"/>
        <w:spacing w:line="400" w:lineRule="exact"/>
        <w:ind w:left="0" w:firstLine="3148" w:firstLineChars="1100"/>
        <w:rPr>
          <w:color w:val="auto"/>
        </w:rPr>
      </w:pPr>
      <w:r>
        <w:rPr>
          <w:rFonts w:hint="eastAsia"/>
          <w:color w:val="auto"/>
          <w:w w:val="95"/>
          <w:sz w:val="30"/>
          <w:szCs w:val="30"/>
        </w:rPr>
        <w:t>第三章  评标办法</w:t>
      </w:r>
    </w:p>
    <w:p w14:paraId="0C50A434">
      <w:pPr>
        <w:spacing w:line="400" w:lineRule="exact"/>
        <w:ind w:firstLine="480" w:firstLineChars="200"/>
        <w:jc w:val="left"/>
        <w:rPr>
          <w:rFonts w:ascii="宋体" w:hAnsi="宋体" w:cs="宋体"/>
          <w:b/>
          <w:color w:val="auto"/>
          <w:kern w:val="0"/>
          <w:sz w:val="24"/>
        </w:rPr>
      </w:pPr>
      <w:r>
        <w:rPr>
          <w:rFonts w:hint="eastAsia"/>
          <w:color w:val="auto"/>
          <w:sz w:val="24"/>
        </w:rPr>
        <w:t>投标文件满足招标文件全部实质性要求且投标报价最低的投标人为排名第一的中标候选人。</w:t>
      </w:r>
    </w:p>
    <w:p w14:paraId="0CB814B1">
      <w:pPr>
        <w:spacing w:line="400" w:lineRule="exact"/>
        <w:rPr>
          <w:rFonts w:ascii="宋体" w:hAnsi="宋体" w:cs="宋体"/>
          <w:b/>
          <w:color w:val="auto"/>
          <w:sz w:val="30"/>
          <w:szCs w:val="30"/>
        </w:rPr>
      </w:pPr>
    </w:p>
    <w:p w14:paraId="0CFE8DD1">
      <w:pPr>
        <w:spacing w:line="400" w:lineRule="exact"/>
        <w:rPr>
          <w:rFonts w:ascii="宋体" w:hAnsi="宋体" w:cs="宋体"/>
          <w:b/>
          <w:color w:val="auto"/>
          <w:sz w:val="30"/>
          <w:szCs w:val="30"/>
        </w:rPr>
      </w:pPr>
    </w:p>
    <w:p w14:paraId="1C93314B">
      <w:pPr>
        <w:spacing w:line="400" w:lineRule="exact"/>
        <w:rPr>
          <w:rFonts w:ascii="宋体" w:hAnsi="宋体" w:cs="宋体"/>
          <w:b/>
          <w:color w:val="auto"/>
          <w:sz w:val="30"/>
          <w:szCs w:val="30"/>
        </w:rPr>
      </w:pPr>
    </w:p>
    <w:p w14:paraId="55D6BDB9">
      <w:pPr>
        <w:spacing w:line="400" w:lineRule="exact"/>
        <w:rPr>
          <w:rFonts w:ascii="宋体" w:hAnsi="宋体" w:cs="宋体"/>
          <w:b/>
          <w:color w:val="auto"/>
          <w:sz w:val="30"/>
          <w:szCs w:val="30"/>
        </w:rPr>
      </w:pPr>
    </w:p>
    <w:p w14:paraId="2A3933E1">
      <w:pPr>
        <w:spacing w:line="400" w:lineRule="exact"/>
        <w:rPr>
          <w:rFonts w:ascii="宋体" w:hAnsi="宋体" w:cs="宋体"/>
          <w:b/>
          <w:color w:val="auto"/>
          <w:sz w:val="30"/>
          <w:szCs w:val="30"/>
        </w:rPr>
      </w:pPr>
    </w:p>
    <w:p w14:paraId="6F881820">
      <w:pPr>
        <w:spacing w:line="400" w:lineRule="exact"/>
        <w:rPr>
          <w:rFonts w:ascii="宋体" w:hAnsi="宋体" w:cs="宋体"/>
          <w:b/>
          <w:color w:val="auto"/>
          <w:sz w:val="30"/>
          <w:szCs w:val="30"/>
        </w:rPr>
      </w:pPr>
    </w:p>
    <w:p w14:paraId="53127836">
      <w:pPr>
        <w:spacing w:line="400" w:lineRule="exact"/>
        <w:rPr>
          <w:rFonts w:ascii="宋体" w:hAnsi="宋体" w:cs="宋体"/>
          <w:b/>
          <w:color w:val="auto"/>
          <w:sz w:val="30"/>
          <w:szCs w:val="30"/>
        </w:rPr>
      </w:pPr>
    </w:p>
    <w:p w14:paraId="069AA1BD">
      <w:pPr>
        <w:spacing w:line="400" w:lineRule="exact"/>
        <w:rPr>
          <w:rFonts w:ascii="宋体" w:hAnsi="宋体" w:cs="宋体"/>
          <w:b/>
          <w:color w:val="auto"/>
          <w:sz w:val="30"/>
          <w:szCs w:val="30"/>
        </w:rPr>
      </w:pPr>
    </w:p>
    <w:p w14:paraId="753B7545">
      <w:pPr>
        <w:spacing w:line="400" w:lineRule="exact"/>
        <w:rPr>
          <w:rFonts w:ascii="宋体" w:hAnsi="宋体" w:cs="宋体"/>
          <w:b/>
          <w:color w:val="auto"/>
          <w:sz w:val="30"/>
          <w:szCs w:val="30"/>
        </w:rPr>
      </w:pPr>
    </w:p>
    <w:p w14:paraId="050EDF51">
      <w:pPr>
        <w:spacing w:line="400" w:lineRule="exact"/>
        <w:rPr>
          <w:rFonts w:ascii="宋体" w:hAnsi="宋体" w:cs="宋体"/>
          <w:b/>
          <w:color w:val="auto"/>
          <w:sz w:val="30"/>
          <w:szCs w:val="30"/>
        </w:rPr>
      </w:pPr>
    </w:p>
    <w:p w14:paraId="2699D4A9">
      <w:pPr>
        <w:spacing w:line="400" w:lineRule="exact"/>
        <w:rPr>
          <w:rFonts w:ascii="宋体" w:hAnsi="宋体" w:cs="宋体"/>
          <w:b/>
          <w:color w:val="auto"/>
          <w:sz w:val="30"/>
          <w:szCs w:val="30"/>
        </w:rPr>
      </w:pPr>
    </w:p>
    <w:p w14:paraId="76800DA4">
      <w:pPr>
        <w:spacing w:line="400" w:lineRule="exact"/>
        <w:rPr>
          <w:rFonts w:ascii="宋体" w:hAnsi="宋体" w:cs="宋体"/>
          <w:b/>
          <w:color w:val="auto"/>
          <w:sz w:val="30"/>
          <w:szCs w:val="30"/>
        </w:rPr>
      </w:pPr>
    </w:p>
    <w:p w14:paraId="299839E6">
      <w:pPr>
        <w:spacing w:line="400" w:lineRule="exact"/>
        <w:rPr>
          <w:rFonts w:ascii="宋体" w:hAnsi="宋体" w:cs="宋体"/>
          <w:b/>
          <w:color w:val="auto"/>
          <w:sz w:val="30"/>
          <w:szCs w:val="30"/>
        </w:rPr>
      </w:pPr>
    </w:p>
    <w:p w14:paraId="4FF206FE">
      <w:pPr>
        <w:spacing w:line="400" w:lineRule="exact"/>
        <w:rPr>
          <w:rFonts w:ascii="宋体" w:hAnsi="宋体" w:cs="宋体"/>
          <w:b/>
          <w:color w:val="auto"/>
          <w:sz w:val="30"/>
          <w:szCs w:val="30"/>
        </w:rPr>
      </w:pPr>
    </w:p>
    <w:p w14:paraId="13032155">
      <w:pPr>
        <w:spacing w:line="400" w:lineRule="exact"/>
        <w:rPr>
          <w:rFonts w:ascii="宋体" w:hAnsi="宋体" w:cs="宋体"/>
          <w:b/>
          <w:color w:val="auto"/>
          <w:sz w:val="30"/>
          <w:szCs w:val="30"/>
        </w:rPr>
      </w:pPr>
    </w:p>
    <w:p w14:paraId="7A22724C">
      <w:pPr>
        <w:spacing w:line="400" w:lineRule="exact"/>
        <w:rPr>
          <w:rFonts w:ascii="宋体" w:hAnsi="宋体" w:cs="宋体"/>
          <w:b/>
          <w:color w:val="auto"/>
          <w:sz w:val="30"/>
          <w:szCs w:val="30"/>
        </w:rPr>
      </w:pPr>
    </w:p>
    <w:p w14:paraId="1687C533">
      <w:pPr>
        <w:spacing w:line="400" w:lineRule="exact"/>
        <w:rPr>
          <w:rFonts w:ascii="宋体" w:hAnsi="宋体" w:cs="宋体"/>
          <w:b/>
          <w:color w:val="auto"/>
          <w:sz w:val="30"/>
          <w:szCs w:val="30"/>
        </w:rPr>
      </w:pPr>
    </w:p>
    <w:p w14:paraId="71A4E51B">
      <w:pPr>
        <w:spacing w:line="400" w:lineRule="exact"/>
        <w:rPr>
          <w:rFonts w:ascii="宋体" w:hAnsi="宋体" w:cs="宋体"/>
          <w:b/>
          <w:color w:val="auto"/>
          <w:sz w:val="30"/>
          <w:szCs w:val="30"/>
        </w:rPr>
      </w:pPr>
    </w:p>
    <w:p w14:paraId="5DF623C2">
      <w:pPr>
        <w:spacing w:line="400" w:lineRule="exact"/>
        <w:rPr>
          <w:rFonts w:ascii="宋体" w:hAnsi="宋体" w:cs="宋体"/>
          <w:b/>
          <w:color w:val="auto"/>
          <w:sz w:val="30"/>
          <w:szCs w:val="30"/>
        </w:rPr>
      </w:pPr>
    </w:p>
    <w:p w14:paraId="46C6B97F">
      <w:pPr>
        <w:spacing w:line="400" w:lineRule="exact"/>
        <w:rPr>
          <w:rFonts w:ascii="宋体" w:hAnsi="宋体" w:cs="宋体"/>
          <w:b/>
          <w:color w:val="auto"/>
          <w:sz w:val="30"/>
          <w:szCs w:val="30"/>
        </w:rPr>
      </w:pPr>
    </w:p>
    <w:p w14:paraId="50C705D1">
      <w:pPr>
        <w:spacing w:line="400" w:lineRule="exact"/>
        <w:rPr>
          <w:rFonts w:ascii="宋体" w:hAnsi="宋体" w:cs="宋体"/>
          <w:b/>
          <w:color w:val="auto"/>
          <w:sz w:val="30"/>
          <w:szCs w:val="30"/>
        </w:rPr>
      </w:pPr>
    </w:p>
    <w:p w14:paraId="7E37041B">
      <w:pPr>
        <w:spacing w:line="400" w:lineRule="exact"/>
        <w:rPr>
          <w:rFonts w:ascii="宋体" w:hAnsi="宋体" w:cs="宋体"/>
          <w:b/>
          <w:color w:val="auto"/>
          <w:sz w:val="30"/>
          <w:szCs w:val="30"/>
        </w:rPr>
      </w:pPr>
    </w:p>
    <w:p w14:paraId="1FA57034">
      <w:pPr>
        <w:spacing w:line="400" w:lineRule="exact"/>
        <w:rPr>
          <w:rFonts w:ascii="宋体" w:hAnsi="宋体" w:cs="宋体"/>
          <w:b/>
          <w:color w:val="auto"/>
          <w:sz w:val="30"/>
          <w:szCs w:val="30"/>
        </w:rPr>
      </w:pPr>
    </w:p>
    <w:p w14:paraId="28CE400D">
      <w:pPr>
        <w:spacing w:line="400" w:lineRule="exact"/>
        <w:rPr>
          <w:rFonts w:ascii="宋体" w:hAnsi="宋体" w:cs="宋体"/>
          <w:b/>
          <w:color w:val="auto"/>
          <w:sz w:val="30"/>
          <w:szCs w:val="30"/>
        </w:rPr>
      </w:pPr>
    </w:p>
    <w:p w14:paraId="0B7BFF4E">
      <w:pPr>
        <w:spacing w:line="400" w:lineRule="exact"/>
        <w:rPr>
          <w:rFonts w:ascii="宋体" w:hAnsi="宋体" w:cs="宋体"/>
          <w:b/>
          <w:color w:val="auto"/>
          <w:sz w:val="30"/>
          <w:szCs w:val="30"/>
        </w:rPr>
      </w:pPr>
    </w:p>
    <w:p w14:paraId="2EFDF8E0">
      <w:pPr>
        <w:spacing w:line="400" w:lineRule="exact"/>
        <w:rPr>
          <w:rFonts w:ascii="宋体" w:hAnsi="宋体" w:cs="宋体"/>
          <w:b/>
          <w:color w:val="auto"/>
          <w:sz w:val="30"/>
          <w:szCs w:val="30"/>
        </w:rPr>
      </w:pPr>
    </w:p>
    <w:p w14:paraId="6041834A">
      <w:pPr>
        <w:spacing w:line="400" w:lineRule="exact"/>
        <w:rPr>
          <w:rFonts w:ascii="宋体" w:hAnsi="宋体" w:cs="宋体"/>
          <w:b/>
          <w:color w:val="auto"/>
          <w:sz w:val="30"/>
          <w:szCs w:val="30"/>
        </w:rPr>
      </w:pPr>
    </w:p>
    <w:p w14:paraId="4C568686">
      <w:pPr>
        <w:pStyle w:val="2"/>
        <w:spacing w:line="400" w:lineRule="exact"/>
        <w:jc w:val="center"/>
        <w:rPr>
          <w:color w:val="auto"/>
          <w:sz w:val="30"/>
          <w:szCs w:val="30"/>
        </w:rPr>
      </w:pPr>
    </w:p>
    <w:p w14:paraId="2E7397F3">
      <w:pPr>
        <w:pStyle w:val="2"/>
        <w:spacing w:line="400" w:lineRule="exact"/>
        <w:jc w:val="center"/>
        <w:rPr>
          <w:color w:val="auto"/>
          <w:sz w:val="30"/>
          <w:szCs w:val="30"/>
        </w:rPr>
      </w:pPr>
    </w:p>
    <w:p w14:paraId="239913E1">
      <w:pPr>
        <w:pStyle w:val="2"/>
        <w:spacing w:line="400" w:lineRule="exact"/>
        <w:jc w:val="center"/>
        <w:rPr>
          <w:color w:val="auto"/>
          <w:sz w:val="30"/>
          <w:szCs w:val="30"/>
        </w:rPr>
      </w:pPr>
    </w:p>
    <w:p w14:paraId="429C66F8">
      <w:pPr>
        <w:pStyle w:val="2"/>
        <w:spacing w:line="400" w:lineRule="exact"/>
        <w:jc w:val="center"/>
        <w:rPr>
          <w:color w:val="auto"/>
          <w:sz w:val="30"/>
          <w:szCs w:val="30"/>
        </w:rPr>
      </w:pPr>
      <w:r>
        <w:rPr>
          <w:rFonts w:hint="eastAsia"/>
          <w:color w:val="auto"/>
          <w:sz w:val="30"/>
          <w:szCs w:val="30"/>
        </w:rPr>
        <w:t>第四章  投标文件格式</w:t>
      </w:r>
    </w:p>
    <w:p w14:paraId="052715D5">
      <w:pPr>
        <w:spacing w:line="4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响</w:t>
      </w:r>
      <w:r>
        <w:rPr>
          <w:rFonts w:hint="eastAsia" w:ascii="宋体" w:hAnsi="宋体" w:cs="宋体"/>
          <w:b/>
          <w:color w:val="auto"/>
          <w:sz w:val="30"/>
          <w:szCs w:val="30"/>
        </w:rPr>
        <w:t xml:space="preserve">  </w:t>
      </w:r>
      <w:r>
        <w:rPr>
          <w:rFonts w:hint="eastAsia" w:ascii="宋体" w:hAnsi="宋体" w:cs="宋体"/>
          <w:b/>
          <w:color w:val="auto"/>
          <w:sz w:val="30"/>
          <w:szCs w:val="30"/>
          <w:lang w:val="en-US" w:eastAsia="zh-CN"/>
        </w:rPr>
        <w:t>应</w:t>
      </w:r>
      <w:r>
        <w:rPr>
          <w:rFonts w:hint="eastAsia" w:ascii="宋体" w:hAnsi="宋体" w:cs="宋体"/>
          <w:b/>
          <w:color w:val="auto"/>
          <w:sz w:val="30"/>
          <w:szCs w:val="30"/>
        </w:rPr>
        <w:t xml:space="preserve">  函 （格式）</w:t>
      </w:r>
    </w:p>
    <w:p w14:paraId="477D48C5">
      <w:pPr>
        <w:spacing w:line="400" w:lineRule="exact"/>
        <w:ind w:firstLine="480" w:firstLineChars="200"/>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：桂林市人民医院   </w:t>
      </w:r>
    </w:p>
    <w:p w14:paraId="2C5D96D8">
      <w:pPr>
        <w:pStyle w:val="11"/>
        <w:spacing w:line="400" w:lineRule="exact"/>
        <w:ind w:firstLine="420"/>
        <w:rPr>
          <w:rFonts w:hAnsi="宋体"/>
          <w:color w:val="auto"/>
          <w:sz w:val="24"/>
          <w:szCs w:val="24"/>
        </w:rPr>
      </w:pPr>
      <w:r>
        <w:rPr>
          <w:rFonts w:hint="eastAsia" w:hAnsi="宋体"/>
          <w:color w:val="auto"/>
          <w:sz w:val="24"/>
          <w:szCs w:val="24"/>
        </w:rPr>
        <w:t>根据贵方</w:t>
      </w:r>
      <w:r>
        <w:rPr>
          <w:rFonts w:hint="eastAsia" w:hAnsi="宋体"/>
          <w:color w:val="auto"/>
          <w:sz w:val="24"/>
          <w:szCs w:val="24"/>
          <w:u w:val="single"/>
        </w:rPr>
        <w:t xml:space="preserve">           </w:t>
      </w:r>
      <w:r>
        <w:rPr>
          <w:rFonts w:hint="eastAsia" w:hAnsi="宋体"/>
          <w:color w:val="auto"/>
          <w:sz w:val="24"/>
          <w:szCs w:val="24"/>
        </w:rPr>
        <w:t>项目招标文件，项目编号</w:t>
      </w:r>
      <w:r>
        <w:rPr>
          <w:rFonts w:hint="eastAsia" w:hAnsi="宋体"/>
          <w:color w:val="auto"/>
          <w:sz w:val="24"/>
          <w:szCs w:val="24"/>
          <w:u w:val="single"/>
        </w:rPr>
        <w:t xml:space="preserve">            </w:t>
      </w:r>
      <w:r>
        <w:rPr>
          <w:rFonts w:hint="eastAsia" w:hAnsi="宋体"/>
          <w:color w:val="auto"/>
          <w:sz w:val="24"/>
          <w:szCs w:val="24"/>
        </w:rPr>
        <w:t>，签字代表</w:t>
      </w:r>
      <w:r>
        <w:rPr>
          <w:rFonts w:hint="eastAsia" w:hAnsi="宋体"/>
          <w:color w:val="auto"/>
          <w:sz w:val="24"/>
          <w:szCs w:val="24"/>
          <w:u w:val="single"/>
        </w:rPr>
        <w:t xml:space="preserve">         </w:t>
      </w:r>
      <w:r>
        <w:rPr>
          <w:rFonts w:hint="eastAsia" w:hAnsi="宋体"/>
          <w:color w:val="auto"/>
          <w:sz w:val="24"/>
          <w:szCs w:val="24"/>
        </w:rPr>
        <w:t xml:space="preserve">（姓名）经正式授权并代表投标人 </w:t>
      </w:r>
      <w:r>
        <w:rPr>
          <w:rFonts w:hint="eastAsia" w:hAnsi="宋体"/>
          <w:color w:val="auto"/>
          <w:sz w:val="24"/>
          <w:szCs w:val="24"/>
          <w:u w:val="single"/>
        </w:rPr>
        <w:t xml:space="preserve">                                   （</w:t>
      </w:r>
      <w:r>
        <w:rPr>
          <w:rFonts w:hint="eastAsia" w:hAnsi="宋体"/>
          <w:color w:val="auto"/>
          <w:sz w:val="24"/>
          <w:szCs w:val="24"/>
        </w:rPr>
        <w:t>投标单位名称），提交投标文件</w:t>
      </w:r>
      <w:r>
        <w:rPr>
          <w:rFonts w:hint="eastAsia" w:hAnsi="宋体" w:cs="宋体"/>
          <w:color w:val="auto"/>
          <w:sz w:val="24"/>
          <w:szCs w:val="24"/>
        </w:rPr>
        <w:t>正本一份，副本六份。</w:t>
      </w:r>
    </w:p>
    <w:p w14:paraId="1D7097D0">
      <w:pPr>
        <w:pStyle w:val="11"/>
        <w:spacing w:line="400" w:lineRule="exact"/>
        <w:ind w:firstLine="420"/>
        <w:rPr>
          <w:rFonts w:hAnsi="宋体"/>
          <w:color w:val="auto"/>
          <w:sz w:val="24"/>
          <w:szCs w:val="24"/>
        </w:rPr>
      </w:pPr>
      <w:r>
        <w:rPr>
          <w:rFonts w:hint="eastAsia" w:hAnsi="宋体"/>
          <w:color w:val="auto"/>
          <w:sz w:val="24"/>
          <w:szCs w:val="24"/>
        </w:rPr>
        <w:t>据此函，签字代表宣布同意如下：</w:t>
      </w:r>
    </w:p>
    <w:p w14:paraId="037CDB03">
      <w:pPr>
        <w:widowControl/>
        <w:numPr>
          <w:ilvl w:val="0"/>
          <w:numId w:val="6"/>
        </w:numPr>
        <w:spacing w:line="400" w:lineRule="exact"/>
        <w:jc w:val="left"/>
        <w:rPr>
          <w:rFonts w:ascii="宋体" w:hAnsi="宋体" w:cs="宋体"/>
          <w:color w:val="auto"/>
          <w:szCs w:val="21"/>
        </w:rPr>
      </w:pPr>
      <w:r>
        <w:rPr>
          <w:rFonts w:hint="eastAsia" w:ascii="宋体" w:hAnsi="宋体" w:cs="宋体"/>
          <w:color w:val="auto"/>
          <w:kern w:val="0"/>
          <w:sz w:val="24"/>
        </w:rPr>
        <w:t>一、</w:t>
      </w:r>
      <w:r>
        <w:rPr>
          <w:rFonts w:hint="eastAsia" w:hAnsi="宋体"/>
          <w:color w:val="auto"/>
          <w:szCs w:val="21"/>
        </w:rPr>
        <w:t>报价表</w:t>
      </w:r>
      <w:r>
        <w:rPr>
          <w:rFonts w:hint="eastAsia" w:ascii="宋体" w:hAnsi="宋体" w:cs="宋体"/>
          <w:color w:val="auto"/>
          <w:szCs w:val="21"/>
        </w:rPr>
        <w:t>（单位：人民币  元）</w:t>
      </w:r>
    </w:p>
    <w:tbl>
      <w:tblPr>
        <w:tblStyle w:val="15"/>
        <w:tblW w:w="893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09"/>
        <w:gridCol w:w="993"/>
        <w:gridCol w:w="1134"/>
        <w:gridCol w:w="850"/>
        <w:gridCol w:w="1418"/>
        <w:gridCol w:w="1417"/>
      </w:tblGrid>
      <w:tr w14:paraId="1F992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709" w:type="dxa"/>
            <w:tcBorders>
              <w:top w:val="single" w:color="auto" w:sz="4" w:space="0"/>
              <w:left w:val="single" w:color="auto" w:sz="4" w:space="0"/>
              <w:bottom w:val="single" w:color="auto" w:sz="4" w:space="0"/>
              <w:right w:val="single" w:color="auto" w:sz="4" w:space="0"/>
            </w:tcBorders>
            <w:vAlign w:val="center"/>
          </w:tcPr>
          <w:p w14:paraId="67EAAA66">
            <w:pPr>
              <w:adjustRightInd w:val="0"/>
              <w:snapToGrid w:val="0"/>
              <w:spacing w:line="400" w:lineRule="exact"/>
              <w:jc w:val="center"/>
              <w:rPr>
                <w:rFonts w:ascii="宋体" w:hAnsi="宋体" w:cs="宋体"/>
                <w:color w:val="auto"/>
                <w:szCs w:val="21"/>
              </w:rPr>
            </w:pPr>
            <w:r>
              <w:rPr>
                <w:rFonts w:hint="eastAsia"/>
                <w:color w:val="auto"/>
              </w:rPr>
              <w:t>序号</w:t>
            </w:r>
          </w:p>
        </w:tc>
        <w:tc>
          <w:tcPr>
            <w:tcW w:w="2409" w:type="dxa"/>
            <w:tcBorders>
              <w:top w:val="single" w:color="auto" w:sz="4" w:space="0"/>
              <w:left w:val="nil"/>
              <w:bottom w:val="single" w:color="auto" w:sz="4" w:space="0"/>
              <w:right w:val="single" w:color="auto" w:sz="4" w:space="0"/>
            </w:tcBorders>
            <w:vAlign w:val="center"/>
          </w:tcPr>
          <w:p w14:paraId="3098009E">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货物名称</w:t>
            </w:r>
          </w:p>
        </w:tc>
        <w:tc>
          <w:tcPr>
            <w:tcW w:w="993" w:type="dxa"/>
            <w:tcBorders>
              <w:top w:val="single" w:color="auto" w:sz="4" w:space="0"/>
              <w:left w:val="nil"/>
              <w:bottom w:val="single" w:color="auto" w:sz="4" w:space="0"/>
              <w:right w:val="single" w:color="auto" w:sz="4" w:space="0"/>
            </w:tcBorders>
            <w:vAlign w:val="center"/>
          </w:tcPr>
          <w:p w14:paraId="525C8703">
            <w:pPr>
              <w:adjustRightInd w:val="0"/>
              <w:snapToGrid w:val="0"/>
              <w:spacing w:line="400" w:lineRule="exact"/>
              <w:jc w:val="center"/>
              <w:rPr>
                <w:rFonts w:ascii="宋体" w:hAnsi="宋体" w:cs="宋体"/>
                <w:color w:val="auto"/>
                <w:szCs w:val="21"/>
              </w:rPr>
            </w:pPr>
            <w:r>
              <w:rPr>
                <w:rFonts w:hint="eastAsia"/>
                <w:color w:val="auto"/>
              </w:rPr>
              <w:t>品牌</w:t>
            </w:r>
          </w:p>
        </w:tc>
        <w:tc>
          <w:tcPr>
            <w:tcW w:w="1134" w:type="dxa"/>
            <w:tcBorders>
              <w:top w:val="single" w:color="auto" w:sz="4" w:space="0"/>
              <w:left w:val="nil"/>
              <w:bottom w:val="single" w:color="auto" w:sz="4" w:space="0"/>
              <w:right w:val="single" w:color="auto" w:sz="4" w:space="0"/>
            </w:tcBorders>
            <w:vAlign w:val="center"/>
          </w:tcPr>
          <w:p w14:paraId="42B46138">
            <w:pPr>
              <w:adjustRightInd w:val="0"/>
              <w:snapToGrid w:val="0"/>
              <w:spacing w:line="400" w:lineRule="exact"/>
              <w:jc w:val="center"/>
              <w:rPr>
                <w:rFonts w:ascii="宋体" w:hAnsi="宋体" w:cs="宋体"/>
                <w:color w:val="auto"/>
                <w:szCs w:val="21"/>
              </w:rPr>
            </w:pPr>
            <w:r>
              <w:rPr>
                <w:rFonts w:hint="eastAsia"/>
                <w:color w:val="auto"/>
              </w:rPr>
              <w:t>规格型号</w:t>
            </w:r>
          </w:p>
        </w:tc>
        <w:tc>
          <w:tcPr>
            <w:tcW w:w="850" w:type="dxa"/>
            <w:tcBorders>
              <w:top w:val="single" w:color="auto" w:sz="4" w:space="0"/>
              <w:left w:val="nil"/>
              <w:bottom w:val="single" w:color="auto" w:sz="4" w:space="0"/>
              <w:right w:val="single" w:color="auto" w:sz="4" w:space="0"/>
            </w:tcBorders>
            <w:vAlign w:val="center"/>
          </w:tcPr>
          <w:p w14:paraId="1D028719">
            <w:pPr>
              <w:adjustRightInd w:val="0"/>
              <w:snapToGrid w:val="0"/>
              <w:spacing w:line="400" w:lineRule="exact"/>
              <w:jc w:val="center"/>
              <w:rPr>
                <w:rFonts w:ascii="宋体" w:hAnsi="宋体" w:cs="宋体"/>
                <w:color w:val="auto"/>
                <w:szCs w:val="21"/>
              </w:rPr>
            </w:pPr>
            <w:r>
              <w:rPr>
                <w:rFonts w:hint="eastAsia"/>
                <w:color w:val="auto"/>
              </w:rPr>
              <w:t>数量①</w:t>
            </w:r>
          </w:p>
        </w:tc>
        <w:tc>
          <w:tcPr>
            <w:tcW w:w="1418" w:type="dxa"/>
            <w:tcBorders>
              <w:top w:val="single" w:color="auto" w:sz="4" w:space="0"/>
              <w:left w:val="nil"/>
              <w:bottom w:val="single" w:color="auto" w:sz="4" w:space="0"/>
              <w:right w:val="single" w:color="auto" w:sz="4" w:space="0"/>
            </w:tcBorders>
            <w:vAlign w:val="center"/>
          </w:tcPr>
          <w:p w14:paraId="05059730">
            <w:pPr>
              <w:adjustRightInd w:val="0"/>
              <w:snapToGrid w:val="0"/>
              <w:spacing w:line="400" w:lineRule="exact"/>
              <w:jc w:val="center"/>
              <w:rPr>
                <w:rFonts w:ascii="宋体" w:hAnsi="宋体" w:cs="宋体"/>
                <w:color w:val="auto"/>
                <w:szCs w:val="21"/>
              </w:rPr>
            </w:pPr>
            <w:r>
              <w:rPr>
                <w:rFonts w:hint="eastAsia"/>
                <w:color w:val="auto"/>
              </w:rPr>
              <w:t>单价报价②</w:t>
            </w:r>
          </w:p>
        </w:tc>
        <w:tc>
          <w:tcPr>
            <w:tcW w:w="1417" w:type="dxa"/>
            <w:tcBorders>
              <w:top w:val="single" w:color="auto" w:sz="4" w:space="0"/>
              <w:left w:val="nil"/>
              <w:bottom w:val="single" w:color="auto" w:sz="4" w:space="0"/>
              <w:right w:val="single" w:color="auto" w:sz="4" w:space="0"/>
            </w:tcBorders>
            <w:vAlign w:val="center"/>
          </w:tcPr>
          <w:p w14:paraId="4285BC64">
            <w:pPr>
              <w:adjustRightInd w:val="0"/>
              <w:snapToGrid w:val="0"/>
              <w:spacing w:line="400" w:lineRule="exact"/>
              <w:jc w:val="center"/>
              <w:rPr>
                <w:rFonts w:ascii="宋体" w:hAnsi="宋体" w:cs="宋体"/>
                <w:color w:val="auto"/>
                <w:szCs w:val="21"/>
              </w:rPr>
            </w:pPr>
            <w:r>
              <w:rPr>
                <w:rFonts w:hint="eastAsia"/>
                <w:color w:val="auto"/>
              </w:rPr>
              <w:t>单项单价合计③=①×②</w:t>
            </w:r>
          </w:p>
        </w:tc>
      </w:tr>
      <w:tr w14:paraId="46936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09" w:type="dxa"/>
            <w:tcBorders>
              <w:top w:val="single" w:color="auto" w:sz="4" w:space="0"/>
              <w:left w:val="single" w:color="auto" w:sz="4" w:space="0"/>
              <w:bottom w:val="single" w:color="auto" w:sz="4" w:space="0"/>
              <w:right w:val="single" w:color="auto" w:sz="4" w:space="0"/>
            </w:tcBorders>
            <w:vAlign w:val="center"/>
          </w:tcPr>
          <w:p w14:paraId="52308CBD">
            <w:pPr>
              <w:adjustRightInd w:val="0"/>
              <w:snapToGrid w:val="0"/>
              <w:spacing w:line="400" w:lineRule="exact"/>
              <w:jc w:val="center"/>
              <w:rPr>
                <w:rFonts w:ascii="宋体" w:hAnsi="宋体" w:cs="宋体"/>
                <w:color w:val="auto"/>
                <w:szCs w:val="21"/>
              </w:rPr>
            </w:pPr>
            <w:r>
              <w:rPr>
                <w:rFonts w:hint="eastAsia"/>
                <w:color w:val="auto"/>
              </w:rPr>
              <w:t>1</w:t>
            </w:r>
          </w:p>
        </w:tc>
        <w:tc>
          <w:tcPr>
            <w:tcW w:w="2409" w:type="dxa"/>
            <w:tcBorders>
              <w:top w:val="single" w:color="auto" w:sz="4" w:space="0"/>
              <w:left w:val="nil"/>
              <w:bottom w:val="single" w:color="auto" w:sz="4" w:space="0"/>
              <w:right w:val="single" w:color="auto" w:sz="4" w:space="0"/>
            </w:tcBorders>
            <w:vAlign w:val="center"/>
          </w:tcPr>
          <w:p w14:paraId="2B9411A4">
            <w:pPr>
              <w:adjustRightInd w:val="0"/>
              <w:snapToGrid w:val="0"/>
              <w:spacing w:line="400" w:lineRule="exact"/>
              <w:rPr>
                <w:rFonts w:ascii="宋体" w:hAnsi="宋体" w:cs="宋体"/>
                <w:color w:val="auto"/>
                <w:szCs w:val="21"/>
              </w:rPr>
            </w:pPr>
          </w:p>
        </w:tc>
        <w:tc>
          <w:tcPr>
            <w:tcW w:w="993" w:type="dxa"/>
            <w:tcBorders>
              <w:top w:val="single" w:color="auto" w:sz="4" w:space="0"/>
              <w:left w:val="nil"/>
              <w:bottom w:val="single" w:color="auto" w:sz="4" w:space="0"/>
              <w:right w:val="single" w:color="auto" w:sz="4" w:space="0"/>
            </w:tcBorders>
            <w:vAlign w:val="center"/>
          </w:tcPr>
          <w:p w14:paraId="6A759864">
            <w:pPr>
              <w:adjustRightInd w:val="0"/>
              <w:snapToGrid w:val="0"/>
              <w:spacing w:line="4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Pr>
          <w:p w14:paraId="3C643009">
            <w:pPr>
              <w:adjustRightInd w:val="0"/>
              <w:snapToGrid w:val="0"/>
              <w:spacing w:line="400" w:lineRule="exact"/>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tcPr>
          <w:p w14:paraId="6A939ED6">
            <w:pPr>
              <w:adjustRightInd w:val="0"/>
              <w:snapToGrid w:val="0"/>
              <w:spacing w:line="400" w:lineRule="exact"/>
              <w:jc w:val="center"/>
              <w:rPr>
                <w:rFonts w:ascii="宋体" w:hAnsi="宋体" w:cs="宋体"/>
                <w:color w:val="auto"/>
                <w:szCs w:val="21"/>
              </w:rPr>
            </w:pPr>
          </w:p>
        </w:tc>
        <w:tc>
          <w:tcPr>
            <w:tcW w:w="1418" w:type="dxa"/>
            <w:tcBorders>
              <w:top w:val="single" w:color="auto" w:sz="4" w:space="0"/>
              <w:left w:val="nil"/>
              <w:bottom w:val="single" w:color="auto" w:sz="4" w:space="0"/>
              <w:right w:val="single" w:color="auto" w:sz="4" w:space="0"/>
            </w:tcBorders>
            <w:vAlign w:val="center"/>
          </w:tcPr>
          <w:p w14:paraId="3C416237">
            <w:pPr>
              <w:spacing w:line="400" w:lineRule="exact"/>
              <w:rPr>
                <w:rFonts w:ascii="宋体" w:hAns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14:paraId="3361B617">
            <w:pPr>
              <w:spacing w:line="400" w:lineRule="exact"/>
              <w:rPr>
                <w:rFonts w:ascii="宋体" w:hAnsi="宋体" w:cs="宋体"/>
                <w:color w:val="auto"/>
                <w:szCs w:val="21"/>
              </w:rPr>
            </w:pPr>
          </w:p>
        </w:tc>
      </w:tr>
      <w:tr w14:paraId="626A3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09" w:type="dxa"/>
            <w:tcBorders>
              <w:top w:val="single" w:color="auto" w:sz="4" w:space="0"/>
              <w:left w:val="single" w:color="auto" w:sz="4" w:space="0"/>
              <w:bottom w:val="single" w:color="auto" w:sz="4" w:space="0"/>
              <w:right w:val="single" w:color="auto" w:sz="4" w:space="0"/>
            </w:tcBorders>
            <w:vAlign w:val="center"/>
          </w:tcPr>
          <w:p w14:paraId="212CC887">
            <w:pPr>
              <w:adjustRightInd w:val="0"/>
              <w:snapToGrid w:val="0"/>
              <w:spacing w:line="400" w:lineRule="exact"/>
              <w:jc w:val="center"/>
              <w:rPr>
                <w:rFonts w:ascii="宋体" w:hAnsi="宋体" w:cs="宋体"/>
                <w:color w:val="auto"/>
                <w:szCs w:val="21"/>
              </w:rPr>
            </w:pPr>
            <w:r>
              <w:rPr>
                <w:rFonts w:hint="eastAsia"/>
                <w:color w:val="auto"/>
              </w:rPr>
              <w:t>2</w:t>
            </w:r>
          </w:p>
        </w:tc>
        <w:tc>
          <w:tcPr>
            <w:tcW w:w="2409" w:type="dxa"/>
            <w:tcBorders>
              <w:top w:val="single" w:color="auto" w:sz="4" w:space="0"/>
              <w:left w:val="nil"/>
              <w:bottom w:val="single" w:color="auto" w:sz="4" w:space="0"/>
              <w:right w:val="single" w:color="auto" w:sz="4" w:space="0"/>
            </w:tcBorders>
            <w:vAlign w:val="center"/>
          </w:tcPr>
          <w:p w14:paraId="4E15A042">
            <w:pPr>
              <w:adjustRightInd w:val="0"/>
              <w:snapToGrid w:val="0"/>
              <w:spacing w:line="400" w:lineRule="exact"/>
              <w:rPr>
                <w:rFonts w:ascii="宋体" w:hAnsi="宋体" w:cs="宋体"/>
                <w:color w:val="auto"/>
                <w:szCs w:val="21"/>
              </w:rPr>
            </w:pPr>
          </w:p>
        </w:tc>
        <w:tc>
          <w:tcPr>
            <w:tcW w:w="993" w:type="dxa"/>
            <w:tcBorders>
              <w:top w:val="single" w:color="auto" w:sz="4" w:space="0"/>
              <w:left w:val="nil"/>
              <w:bottom w:val="single" w:color="auto" w:sz="4" w:space="0"/>
              <w:right w:val="single" w:color="auto" w:sz="4" w:space="0"/>
            </w:tcBorders>
            <w:vAlign w:val="center"/>
          </w:tcPr>
          <w:p w14:paraId="2EB1ED2D">
            <w:pPr>
              <w:adjustRightInd w:val="0"/>
              <w:snapToGrid w:val="0"/>
              <w:spacing w:line="4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Pr>
          <w:p w14:paraId="7AE4B215">
            <w:pPr>
              <w:adjustRightInd w:val="0"/>
              <w:snapToGrid w:val="0"/>
              <w:spacing w:line="400" w:lineRule="exact"/>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tcPr>
          <w:p w14:paraId="3290CE8F">
            <w:pPr>
              <w:adjustRightInd w:val="0"/>
              <w:snapToGrid w:val="0"/>
              <w:spacing w:line="400" w:lineRule="exact"/>
              <w:jc w:val="center"/>
              <w:rPr>
                <w:rFonts w:ascii="宋体" w:hAnsi="宋体" w:cs="宋体"/>
                <w:color w:val="auto"/>
                <w:szCs w:val="21"/>
              </w:rPr>
            </w:pPr>
          </w:p>
        </w:tc>
        <w:tc>
          <w:tcPr>
            <w:tcW w:w="1418" w:type="dxa"/>
            <w:tcBorders>
              <w:top w:val="single" w:color="auto" w:sz="4" w:space="0"/>
              <w:left w:val="nil"/>
              <w:bottom w:val="single" w:color="auto" w:sz="4" w:space="0"/>
              <w:right w:val="single" w:color="auto" w:sz="4" w:space="0"/>
            </w:tcBorders>
            <w:vAlign w:val="center"/>
          </w:tcPr>
          <w:p w14:paraId="78511265">
            <w:pPr>
              <w:adjustRightInd w:val="0"/>
              <w:snapToGrid w:val="0"/>
              <w:spacing w:line="400" w:lineRule="exact"/>
              <w:jc w:val="center"/>
              <w:rPr>
                <w:rFonts w:ascii="宋体" w:hAns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14:paraId="593BB3B6">
            <w:pPr>
              <w:adjustRightInd w:val="0"/>
              <w:snapToGrid w:val="0"/>
              <w:spacing w:line="400" w:lineRule="exact"/>
              <w:jc w:val="center"/>
              <w:rPr>
                <w:rFonts w:ascii="宋体" w:hAnsi="宋体" w:cs="宋体"/>
                <w:color w:val="auto"/>
                <w:szCs w:val="21"/>
              </w:rPr>
            </w:pPr>
          </w:p>
        </w:tc>
      </w:tr>
      <w:tr w14:paraId="355F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09" w:type="dxa"/>
            <w:tcBorders>
              <w:top w:val="single" w:color="auto" w:sz="4" w:space="0"/>
              <w:left w:val="single" w:color="auto" w:sz="4" w:space="0"/>
              <w:bottom w:val="single" w:color="auto" w:sz="4" w:space="0"/>
              <w:right w:val="single" w:color="auto" w:sz="4" w:space="0"/>
            </w:tcBorders>
            <w:vAlign w:val="center"/>
          </w:tcPr>
          <w:p w14:paraId="1F3CC178">
            <w:pPr>
              <w:adjustRightInd w:val="0"/>
              <w:snapToGrid w:val="0"/>
              <w:spacing w:line="400" w:lineRule="exact"/>
              <w:jc w:val="center"/>
              <w:rPr>
                <w:rFonts w:ascii="宋体" w:hAnsi="宋体" w:cs="宋体"/>
                <w:color w:val="auto"/>
                <w:szCs w:val="21"/>
              </w:rPr>
            </w:pPr>
            <w:r>
              <w:rPr>
                <w:rFonts w:hint="eastAsia"/>
                <w:color w:val="auto"/>
              </w:rPr>
              <w:t>……</w:t>
            </w:r>
          </w:p>
        </w:tc>
        <w:tc>
          <w:tcPr>
            <w:tcW w:w="2409" w:type="dxa"/>
            <w:tcBorders>
              <w:top w:val="single" w:color="auto" w:sz="4" w:space="0"/>
              <w:left w:val="nil"/>
              <w:bottom w:val="single" w:color="auto" w:sz="4" w:space="0"/>
              <w:right w:val="single" w:color="auto" w:sz="4" w:space="0"/>
            </w:tcBorders>
            <w:vAlign w:val="center"/>
          </w:tcPr>
          <w:p w14:paraId="78D6DA4D">
            <w:pPr>
              <w:adjustRightInd w:val="0"/>
              <w:snapToGrid w:val="0"/>
              <w:spacing w:line="400" w:lineRule="exact"/>
              <w:rPr>
                <w:rFonts w:ascii="宋体" w:hAnsi="宋体" w:cs="宋体"/>
                <w:color w:val="auto"/>
                <w:szCs w:val="21"/>
              </w:rPr>
            </w:pPr>
          </w:p>
        </w:tc>
        <w:tc>
          <w:tcPr>
            <w:tcW w:w="993" w:type="dxa"/>
            <w:tcBorders>
              <w:top w:val="single" w:color="auto" w:sz="4" w:space="0"/>
              <w:left w:val="nil"/>
              <w:bottom w:val="single" w:color="auto" w:sz="4" w:space="0"/>
              <w:right w:val="single" w:color="auto" w:sz="4" w:space="0"/>
            </w:tcBorders>
            <w:vAlign w:val="center"/>
          </w:tcPr>
          <w:p w14:paraId="6581C7A3">
            <w:pPr>
              <w:adjustRightInd w:val="0"/>
              <w:snapToGrid w:val="0"/>
              <w:spacing w:line="400" w:lineRule="exact"/>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tcPr>
          <w:p w14:paraId="3ED4A83C">
            <w:pPr>
              <w:adjustRightInd w:val="0"/>
              <w:snapToGrid w:val="0"/>
              <w:spacing w:line="400" w:lineRule="exact"/>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tcPr>
          <w:p w14:paraId="7F46CE79">
            <w:pPr>
              <w:adjustRightInd w:val="0"/>
              <w:snapToGrid w:val="0"/>
              <w:spacing w:line="400" w:lineRule="exact"/>
              <w:jc w:val="center"/>
              <w:rPr>
                <w:rFonts w:ascii="宋体" w:hAnsi="宋体" w:cs="宋体"/>
                <w:color w:val="auto"/>
                <w:szCs w:val="21"/>
              </w:rPr>
            </w:pPr>
          </w:p>
        </w:tc>
        <w:tc>
          <w:tcPr>
            <w:tcW w:w="1418" w:type="dxa"/>
            <w:tcBorders>
              <w:top w:val="single" w:color="auto" w:sz="4" w:space="0"/>
              <w:left w:val="nil"/>
              <w:bottom w:val="single" w:color="auto" w:sz="4" w:space="0"/>
              <w:right w:val="single" w:color="auto" w:sz="4" w:space="0"/>
            </w:tcBorders>
            <w:vAlign w:val="center"/>
          </w:tcPr>
          <w:p w14:paraId="5A6BFF80">
            <w:pPr>
              <w:adjustRightInd w:val="0"/>
              <w:snapToGrid w:val="0"/>
              <w:spacing w:line="400" w:lineRule="exact"/>
              <w:jc w:val="center"/>
              <w:rPr>
                <w:rFonts w:ascii="宋体" w:hAns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14:paraId="7C35C1F7">
            <w:pPr>
              <w:adjustRightInd w:val="0"/>
              <w:snapToGrid w:val="0"/>
              <w:spacing w:line="400" w:lineRule="exact"/>
              <w:jc w:val="center"/>
              <w:rPr>
                <w:rFonts w:ascii="宋体" w:hAnsi="宋体" w:cs="宋体"/>
                <w:color w:val="auto"/>
                <w:szCs w:val="21"/>
              </w:rPr>
            </w:pPr>
          </w:p>
        </w:tc>
      </w:tr>
      <w:tr w14:paraId="3033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7513" w:type="dxa"/>
            <w:gridSpan w:val="6"/>
            <w:tcBorders>
              <w:top w:val="single" w:color="auto" w:sz="4" w:space="0"/>
              <w:left w:val="single" w:color="auto" w:sz="4" w:space="0"/>
              <w:bottom w:val="single" w:color="auto" w:sz="4" w:space="0"/>
              <w:right w:val="single" w:color="auto" w:sz="4" w:space="0"/>
            </w:tcBorders>
            <w:vAlign w:val="center"/>
          </w:tcPr>
          <w:p w14:paraId="1B713A2A">
            <w:pPr>
              <w:adjustRightInd w:val="0"/>
              <w:snapToGrid w:val="0"/>
              <w:spacing w:line="400" w:lineRule="exact"/>
              <w:jc w:val="center"/>
              <w:rPr>
                <w:rFonts w:ascii="宋体" w:hAnsi="宋体" w:cs="宋体"/>
                <w:color w:val="auto"/>
                <w:szCs w:val="21"/>
              </w:rPr>
            </w:pPr>
            <w:r>
              <w:rPr>
                <w:rFonts w:hint="eastAsia"/>
                <w:color w:val="auto"/>
              </w:rPr>
              <w:t>合计金额</w:t>
            </w:r>
          </w:p>
        </w:tc>
        <w:tc>
          <w:tcPr>
            <w:tcW w:w="1417" w:type="dxa"/>
            <w:tcBorders>
              <w:top w:val="single" w:color="auto" w:sz="4" w:space="0"/>
              <w:left w:val="nil"/>
              <w:bottom w:val="single" w:color="auto" w:sz="4" w:space="0"/>
              <w:right w:val="single" w:color="auto" w:sz="4" w:space="0"/>
            </w:tcBorders>
            <w:vAlign w:val="center"/>
          </w:tcPr>
          <w:p w14:paraId="61D12988">
            <w:pPr>
              <w:adjustRightInd w:val="0"/>
              <w:snapToGrid w:val="0"/>
              <w:spacing w:line="400" w:lineRule="exact"/>
              <w:jc w:val="center"/>
              <w:rPr>
                <w:rFonts w:ascii="宋体" w:hAnsi="宋体" w:cs="宋体"/>
                <w:color w:val="auto"/>
                <w:szCs w:val="21"/>
              </w:rPr>
            </w:pPr>
          </w:p>
        </w:tc>
      </w:tr>
      <w:tr w14:paraId="72F52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8930" w:type="dxa"/>
            <w:gridSpan w:val="7"/>
            <w:tcBorders>
              <w:top w:val="single" w:color="auto" w:sz="4" w:space="0"/>
              <w:left w:val="single" w:color="auto" w:sz="4" w:space="0"/>
              <w:bottom w:val="single" w:color="auto" w:sz="4" w:space="0"/>
              <w:right w:val="single" w:color="auto" w:sz="4" w:space="0"/>
            </w:tcBorders>
            <w:vAlign w:val="center"/>
          </w:tcPr>
          <w:p w14:paraId="39A4664B">
            <w:pPr>
              <w:adjustRightInd w:val="0"/>
              <w:snapToGrid w:val="0"/>
              <w:spacing w:line="400" w:lineRule="exact"/>
              <w:jc w:val="left"/>
              <w:rPr>
                <w:rFonts w:ascii="宋体" w:hAnsi="宋体" w:cs="宋体"/>
                <w:color w:val="auto"/>
                <w:szCs w:val="21"/>
              </w:rPr>
            </w:pPr>
            <w:r>
              <w:rPr>
                <w:rFonts w:hint="eastAsia"/>
                <w:color w:val="auto"/>
                <w:spacing w:val="-6"/>
              </w:rPr>
              <w:t xml:space="preserve">报价合计（大写）： </w:t>
            </w:r>
            <w:r>
              <w:rPr>
                <w:rFonts w:hint="eastAsia"/>
                <w:color w:val="auto"/>
                <w:spacing w:val="-6"/>
                <w:u w:val="single"/>
              </w:rPr>
              <w:t xml:space="preserve">                                 </w:t>
            </w:r>
            <w:r>
              <w:rPr>
                <w:rFonts w:hint="eastAsia"/>
                <w:color w:val="auto"/>
                <w:spacing w:val="-6"/>
              </w:rPr>
              <w:t xml:space="preserve">元人民币（¥ </w:t>
            </w:r>
            <w:r>
              <w:rPr>
                <w:rFonts w:hint="eastAsia"/>
                <w:color w:val="auto"/>
                <w:spacing w:val="-6"/>
                <w:u w:val="single"/>
              </w:rPr>
              <w:t xml:space="preserve">                     </w:t>
            </w:r>
            <w:r>
              <w:rPr>
                <w:rFonts w:hint="eastAsia"/>
                <w:color w:val="auto"/>
                <w:spacing w:val="-6"/>
              </w:rPr>
              <w:t>）</w:t>
            </w:r>
          </w:p>
        </w:tc>
      </w:tr>
    </w:tbl>
    <w:p w14:paraId="41351352">
      <w:pPr>
        <w:spacing w:line="400" w:lineRule="exact"/>
        <w:ind w:firstLine="480" w:firstLineChars="200"/>
        <w:rPr>
          <w:color w:val="auto"/>
        </w:rPr>
      </w:pPr>
      <w:r>
        <w:rPr>
          <w:rFonts w:hint="eastAsia" w:ascii="宋体" w:hAnsi="宋体" w:cs="宋体"/>
          <w:color w:val="auto"/>
          <w:kern w:val="0"/>
          <w:sz w:val="24"/>
        </w:rPr>
        <w:t>说明：报价应综合考虑完成本项目产生的所有成本、税金及合理利润，具体包含但不限于完成采购标的包含的人工费用、交通费、税金、利润等所有成本费用。在合同实施时，招标人将不予支付完成本项目必须的但中标人没有列入的费用，并认为此费用已包括在报价中。</w:t>
      </w:r>
    </w:p>
    <w:p w14:paraId="2C33053C">
      <w:pPr>
        <w:numPr>
          <w:ilvl w:val="255"/>
          <w:numId w:val="0"/>
        </w:numPr>
        <w:spacing w:line="400" w:lineRule="exact"/>
        <w:ind w:firstLine="480" w:firstLineChars="200"/>
        <w:jc w:val="left"/>
        <w:rPr>
          <w:rFonts w:ascii="宋体" w:hAnsi="宋体" w:cs="宋体"/>
          <w:color w:val="auto"/>
          <w:sz w:val="24"/>
        </w:rPr>
      </w:pPr>
      <w:r>
        <w:rPr>
          <w:rFonts w:ascii="宋体" w:hAnsi="宋体" w:cs="宋体"/>
          <w:color w:val="auto"/>
          <w:sz w:val="24"/>
        </w:rPr>
        <w:t>1.投标人必须就“</w:t>
      </w:r>
      <w:r>
        <w:rPr>
          <w:rFonts w:hint="eastAsia" w:ascii="宋体" w:hAnsi="宋体" w:cs="宋体"/>
          <w:color w:val="auto"/>
          <w:sz w:val="24"/>
        </w:rPr>
        <w:t>项目需求和说明</w:t>
      </w:r>
      <w:r>
        <w:rPr>
          <w:rFonts w:ascii="宋体" w:hAnsi="宋体" w:cs="宋体"/>
          <w:color w:val="auto"/>
          <w:sz w:val="24"/>
        </w:rPr>
        <w:t>”中的所有内容作完整唯一报价，否则，其投标文件按无效处理。</w:t>
      </w:r>
    </w:p>
    <w:p w14:paraId="3C5C9D79">
      <w:pPr>
        <w:spacing w:line="400" w:lineRule="exact"/>
        <w:ind w:firstLine="420"/>
        <w:jc w:val="left"/>
        <w:rPr>
          <w:rFonts w:ascii="宋体" w:hAnsi="宋体" w:cs="宋体"/>
          <w:color w:val="auto"/>
          <w:sz w:val="24"/>
        </w:rPr>
      </w:pPr>
      <w:r>
        <w:rPr>
          <w:rFonts w:ascii="宋体" w:hAnsi="宋体" w:cs="宋体"/>
          <w:color w:val="auto"/>
          <w:sz w:val="24"/>
        </w:rPr>
        <w:t>2.投标人应根据所提供的</w:t>
      </w:r>
      <w:r>
        <w:rPr>
          <w:rFonts w:hint="eastAsia" w:ascii="宋体" w:hAnsi="宋体" w:cs="宋体"/>
          <w:color w:val="auto"/>
          <w:sz w:val="24"/>
        </w:rPr>
        <w:t>货物及</w:t>
      </w:r>
      <w:r>
        <w:rPr>
          <w:rFonts w:ascii="宋体" w:hAnsi="宋体" w:cs="宋体"/>
          <w:color w:val="auto"/>
          <w:sz w:val="24"/>
        </w:rPr>
        <w:t>服务如实填写报价表的各项内容。</w:t>
      </w:r>
    </w:p>
    <w:p w14:paraId="4811FA28">
      <w:pPr>
        <w:spacing w:line="400" w:lineRule="exact"/>
        <w:ind w:firstLine="420"/>
        <w:jc w:val="left"/>
        <w:rPr>
          <w:rFonts w:hAnsi="宋体"/>
          <w:color w:val="auto"/>
          <w:sz w:val="24"/>
        </w:rPr>
      </w:pPr>
      <w:r>
        <w:rPr>
          <w:rFonts w:ascii="宋体" w:hAnsi="宋体" w:cs="宋体"/>
          <w:color w:val="auto"/>
          <w:sz w:val="24"/>
        </w:rPr>
        <w:t>3.报价表须由法定代表人、负责人或相应的委托代理人签字或盖章</w:t>
      </w:r>
      <w:r>
        <w:rPr>
          <w:rFonts w:hint="eastAsia" w:ascii="宋体" w:hAnsi="宋体" w:cs="宋体"/>
          <w:color w:val="auto"/>
          <w:sz w:val="24"/>
        </w:rPr>
        <w:t>，</w:t>
      </w:r>
      <w:r>
        <w:rPr>
          <w:rFonts w:ascii="宋体" w:hAnsi="宋体" w:cs="宋体"/>
          <w:color w:val="auto"/>
          <w:sz w:val="24"/>
        </w:rPr>
        <w:t>并加盖投标人公章。当本表由多页构成时，需逐页加盖投标人公章。</w:t>
      </w:r>
    </w:p>
    <w:p w14:paraId="74B6AA25">
      <w:pPr>
        <w:pStyle w:val="11"/>
        <w:spacing w:line="400" w:lineRule="exact"/>
        <w:ind w:firstLine="420"/>
        <w:rPr>
          <w:rFonts w:hAnsi="宋体"/>
          <w:color w:val="auto"/>
          <w:sz w:val="24"/>
          <w:szCs w:val="24"/>
        </w:rPr>
      </w:pPr>
      <w:r>
        <w:rPr>
          <w:rFonts w:hint="eastAsia" w:hAnsi="宋体"/>
          <w:color w:val="auto"/>
          <w:sz w:val="24"/>
          <w:szCs w:val="24"/>
        </w:rPr>
        <w:t>二、我方承诺已具备</w:t>
      </w:r>
      <w:r>
        <w:rPr>
          <w:rFonts w:hint="eastAsia" w:hAnsi="宋体" w:cs="宋体"/>
          <w:color w:val="auto"/>
          <w:sz w:val="24"/>
          <w:szCs w:val="24"/>
        </w:rPr>
        <w:t>招标</w:t>
      </w:r>
      <w:r>
        <w:rPr>
          <w:rFonts w:hint="eastAsia" w:hAnsi="宋体"/>
          <w:color w:val="auto"/>
          <w:sz w:val="24"/>
          <w:szCs w:val="24"/>
        </w:rPr>
        <w:t>文件规定的投标人资格条件。</w:t>
      </w:r>
    </w:p>
    <w:p w14:paraId="1EAA3093">
      <w:pPr>
        <w:pStyle w:val="6"/>
        <w:spacing w:line="320" w:lineRule="exact"/>
        <w:ind w:firstLine="420"/>
        <w:rPr>
          <w:rFonts w:ascii="宋体" w:hAnsi="宋体" w:cs="宋体"/>
          <w:color w:val="auto"/>
          <w:sz w:val="24"/>
        </w:rPr>
      </w:pPr>
      <w:r>
        <w:rPr>
          <w:rFonts w:hint="eastAsia"/>
          <w:color w:val="auto"/>
          <w:sz w:val="24"/>
        </w:rPr>
        <w:t>三、</w:t>
      </w:r>
      <w:r>
        <w:rPr>
          <w:rFonts w:hint="eastAsia" w:ascii="宋体" w:hAnsi="宋体" w:cs="宋体"/>
          <w:color w:val="auto"/>
          <w:sz w:val="24"/>
        </w:rPr>
        <w:t>我方已详细了解本项目，将自行承担因对本项目理解不正确或误解而产生的相应后果。</w:t>
      </w:r>
    </w:p>
    <w:p w14:paraId="021636DF">
      <w:pPr>
        <w:pStyle w:val="6"/>
        <w:spacing w:line="320" w:lineRule="exact"/>
        <w:ind w:firstLine="420"/>
        <w:rPr>
          <w:rFonts w:ascii="宋体" w:hAnsi="宋体" w:cs="宋体"/>
          <w:color w:val="auto"/>
          <w:sz w:val="24"/>
        </w:rPr>
      </w:pPr>
      <w:r>
        <w:rPr>
          <w:rFonts w:hint="eastAsia" w:ascii="宋体" w:hAnsi="宋体" w:cs="宋体"/>
          <w:color w:val="auto"/>
          <w:sz w:val="24"/>
        </w:rPr>
        <w:t>与本项目有关的正式通讯地址为：</w:t>
      </w:r>
    </w:p>
    <w:p w14:paraId="2943B6B8">
      <w:pPr>
        <w:pStyle w:val="11"/>
        <w:spacing w:line="320" w:lineRule="exact"/>
        <w:ind w:firstLine="420"/>
        <w:rPr>
          <w:rFonts w:hAnsi="宋体" w:cs="宋体"/>
          <w:color w:val="auto"/>
          <w:sz w:val="24"/>
          <w:szCs w:val="24"/>
        </w:rPr>
      </w:pPr>
      <w:r>
        <w:rPr>
          <w:rFonts w:hint="eastAsia" w:hAnsi="宋体" w:cs="宋体"/>
          <w:color w:val="auto"/>
          <w:sz w:val="24"/>
          <w:szCs w:val="24"/>
        </w:rPr>
        <w:t>地址：</w:t>
      </w:r>
      <w:r>
        <w:rPr>
          <w:rFonts w:hAnsi="宋体" w:cs="宋体"/>
          <w:color w:val="auto"/>
          <w:sz w:val="24"/>
          <w:szCs w:val="24"/>
        </w:rPr>
        <w:t xml:space="preserve">   </w:t>
      </w:r>
    </w:p>
    <w:p w14:paraId="25C5830B">
      <w:pPr>
        <w:pStyle w:val="11"/>
        <w:spacing w:line="320" w:lineRule="exact"/>
        <w:ind w:firstLine="420"/>
        <w:rPr>
          <w:rFonts w:hAnsi="宋体" w:cs="宋体"/>
          <w:color w:val="auto"/>
          <w:sz w:val="24"/>
          <w:szCs w:val="24"/>
        </w:rPr>
      </w:pPr>
      <w:r>
        <w:rPr>
          <w:rFonts w:hint="eastAsia" w:hAnsi="宋体" w:cs="宋体"/>
          <w:color w:val="auto"/>
          <w:sz w:val="24"/>
          <w:szCs w:val="24"/>
        </w:rPr>
        <w:t>邮编：</w:t>
      </w:r>
      <w:r>
        <w:rPr>
          <w:rFonts w:hAnsi="宋体" w:cs="宋体"/>
          <w:color w:val="auto"/>
          <w:sz w:val="24"/>
          <w:szCs w:val="24"/>
        </w:rPr>
        <w:t xml:space="preserve">               </w:t>
      </w:r>
      <w:r>
        <w:rPr>
          <w:rFonts w:hint="eastAsia" w:hAnsi="宋体" w:cs="宋体"/>
          <w:color w:val="auto"/>
          <w:sz w:val="24"/>
          <w:szCs w:val="24"/>
        </w:rPr>
        <w:t>邮箱：</w:t>
      </w:r>
    </w:p>
    <w:p w14:paraId="25411171">
      <w:pPr>
        <w:pStyle w:val="11"/>
        <w:spacing w:line="320" w:lineRule="exact"/>
        <w:ind w:firstLine="420"/>
        <w:rPr>
          <w:rFonts w:hAnsi="宋体" w:cs="宋体"/>
          <w:color w:val="auto"/>
          <w:sz w:val="24"/>
          <w:szCs w:val="24"/>
          <w:u w:val="single"/>
        </w:rPr>
      </w:pPr>
      <w:r>
        <w:rPr>
          <w:rFonts w:hint="eastAsia" w:hAnsi="宋体" w:cs="宋体"/>
          <w:color w:val="auto"/>
          <w:sz w:val="24"/>
          <w:szCs w:val="24"/>
        </w:rPr>
        <w:t>办公电话：</w:t>
      </w:r>
      <w:r>
        <w:rPr>
          <w:rFonts w:hAnsi="宋体" w:cs="宋体"/>
          <w:color w:val="auto"/>
          <w:sz w:val="24"/>
          <w:szCs w:val="24"/>
        </w:rPr>
        <w:t xml:space="preserve">           </w:t>
      </w:r>
      <w:r>
        <w:rPr>
          <w:rFonts w:hint="eastAsia" w:hAnsi="宋体" w:cs="宋体"/>
          <w:color w:val="auto"/>
          <w:sz w:val="24"/>
          <w:szCs w:val="24"/>
        </w:rPr>
        <w:t>传真：</w:t>
      </w:r>
    </w:p>
    <w:p w14:paraId="4C46EABA">
      <w:pPr>
        <w:pStyle w:val="11"/>
        <w:spacing w:line="320" w:lineRule="exact"/>
        <w:ind w:firstLine="420"/>
        <w:rPr>
          <w:rFonts w:hAnsi="宋体" w:cs="宋体"/>
          <w:color w:val="auto"/>
          <w:sz w:val="24"/>
          <w:szCs w:val="24"/>
          <w:u w:val="single"/>
        </w:rPr>
      </w:pPr>
      <w:r>
        <w:rPr>
          <w:rFonts w:hint="eastAsia" w:hAnsi="宋体" w:cs="宋体"/>
          <w:color w:val="auto"/>
          <w:sz w:val="24"/>
          <w:szCs w:val="24"/>
        </w:rPr>
        <w:t>委托代理人联系电话：</w:t>
      </w:r>
    </w:p>
    <w:p w14:paraId="57A7B0C5">
      <w:pPr>
        <w:pStyle w:val="11"/>
        <w:spacing w:line="320" w:lineRule="exact"/>
        <w:ind w:firstLine="420"/>
        <w:rPr>
          <w:rFonts w:hAnsi="宋体" w:cs="宋体"/>
          <w:color w:val="auto"/>
          <w:sz w:val="24"/>
          <w:szCs w:val="24"/>
        </w:rPr>
      </w:pPr>
      <w:r>
        <w:rPr>
          <w:rFonts w:hint="eastAsia" w:hAnsi="宋体" w:cs="宋体"/>
          <w:color w:val="auto"/>
          <w:sz w:val="24"/>
          <w:szCs w:val="24"/>
        </w:rPr>
        <w:t>投标人（公章）：</w:t>
      </w:r>
    </w:p>
    <w:p w14:paraId="57354F2E">
      <w:pPr>
        <w:pStyle w:val="11"/>
        <w:spacing w:line="320" w:lineRule="exact"/>
        <w:ind w:firstLine="420"/>
        <w:rPr>
          <w:rFonts w:hAnsi="宋体" w:cs="宋体"/>
          <w:color w:val="auto"/>
          <w:sz w:val="24"/>
          <w:szCs w:val="24"/>
        </w:rPr>
      </w:pPr>
      <w:r>
        <w:rPr>
          <w:rFonts w:hint="eastAsia" w:hAnsi="宋体" w:cs="宋体"/>
          <w:color w:val="auto"/>
          <w:sz w:val="24"/>
          <w:szCs w:val="24"/>
        </w:rPr>
        <w:t>法定代表人（负责人）或相应的委托代理人签字：</w:t>
      </w:r>
    </w:p>
    <w:p w14:paraId="332B7AD8">
      <w:pPr>
        <w:pStyle w:val="11"/>
        <w:spacing w:line="400" w:lineRule="exact"/>
        <w:ind w:firstLine="420"/>
        <w:jc w:val="left"/>
        <w:rPr>
          <w:rFonts w:hAnsi="宋体" w:cs="宋体"/>
          <w:b/>
          <w:color w:val="auto"/>
          <w:sz w:val="30"/>
          <w:szCs w:val="30"/>
        </w:rPr>
      </w:pPr>
      <w:r>
        <w:rPr>
          <w:rFonts w:hint="eastAsia" w:hAnsi="宋体" w:cs="宋体"/>
          <w:color w:val="auto"/>
          <w:sz w:val="24"/>
          <w:szCs w:val="24"/>
        </w:rPr>
        <w:t xml:space="preserve">日期：             </w:t>
      </w:r>
      <w:r>
        <w:rPr>
          <w:rFonts w:hAnsi="宋体" w:cs="宋体"/>
          <w:color w:val="auto"/>
          <w:sz w:val="24"/>
          <w:szCs w:val="24"/>
        </w:rPr>
        <w:br w:type="page"/>
      </w:r>
    </w:p>
    <w:p w14:paraId="26146FDC">
      <w:pPr>
        <w:pStyle w:val="11"/>
        <w:spacing w:line="400" w:lineRule="exact"/>
        <w:ind w:firstLine="590" w:firstLineChars="196"/>
        <w:rPr>
          <w:rFonts w:hAnsi="宋体" w:cs="宋体"/>
          <w:b/>
          <w:color w:val="auto"/>
          <w:sz w:val="30"/>
          <w:szCs w:val="30"/>
        </w:rPr>
      </w:pPr>
    </w:p>
    <w:p w14:paraId="79141805">
      <w:pPr>
        <w:pStyle w:val="11"/>
        <w:spacing w:line="400" w:lineRule="exact"/>
        <w:ind w:firstLine="590" w:firstLineChars="196"/>
        <w:jc w:val="center"/>
        <w:rPr>
          <w:rFonts w:hAnsi="宋体" w:cs="宋体"/>
          <w:b/>
          <w:color w:val="auto"/>
          <w:sz w:val="30"/>
          <w:szCs w:val="30"/>
        </w:rPr>
      </w:pPr>
      <w:r>
        <w:rPr>
          <w:rFonts w:hint="eastAsia" w:hAnsi="宋体" w:cs="宋体"/>
          <w:b/>
          <w:color w:val="auto"/>
          <w:sz w:val="30"/>
          <w:szCs w:val="30"/>
        </w:rPr>
        <w:t>法人授权委托书（格式）</w:t>
      </w:r>
    </w:p>
    <w:p w14:paraId="12EA7480">
      <w:pPr>
        <w:spacing w:line="400" w:lineRule="exact"/>
        <w:jc w:val="left"/>
        <w:rPr>
          <w:rFonts w:ascii="宋体" w:hAnsi="宋体" w:cs="宋体"/>
          <w:color w:val="auto"/>
          <w:sz w:val="24"/>
        </w:rPr>
      </w:pPr>
    </w:p>
    <w:p w14:paraId="47840F91">
      <w:pPr>
        <w:spacing w:line="400" w:lineRule="exact"/>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桂林市人民医院</w:t>
      </w:r>
    </w:p>
    <w:p w14:paraId="305608F1">
      <w:pPr>
        <w:spacing w:line="400" w:lineRule="exact"/>
        <w:ind w:firstLine="420"/>
        <w:jc w:val="left"/>
        <w:rPr>
          <w:rFonts w:ascii="宋体" w:hAnsi="宋体" w:cs="宋体"/>
          <w:color w:val="auto"/>
          <w:sz w:val="24"/>
        </w:rPr>
      </w:pPr>
      <w:r>
        <w:rPr>
          <w:rFonts w:hint="eastAsia" w:ascii="宋体" w:hAnsi="宋体" w:cs="宋体"/>
          <w:color w:val="auto"/>
          <w:sz w:val="24"/>
        </w:rPr>
        <w:t>我（姓名）系（投标人名称）的法定代表人（负责人），现授权委托本单位在职职工（姓名）以我方名义参加</w:t>
      </w:r>
      <w:r>
        <w:rPr>
          <w:rFonts w:ascii="宋体" w:hAnsi="宋体" w:cs="宋体"/>
          <w:color w:val="auto"/>
          <w:sz w:val="24"/>
          <w:u w:val="single"/>
        </w:rPr>
        <w:t xml:space="preserve">      （项目名称及项目编号）        </w:t>
      </w:r>
      <w:r>
        <w:rPr>
          <w:rFonts w:hint="eastAsia" w:ascii="宋体" w:hAnsi="宋体" w:cs="宋体"/>
          <w:color w:val="auto"/>
          <w:sz w:val="24"/>
        </w:rPr>
        <w:t>项目的招标活动，并代表我方全权办理针对上述项目的具体事务和签署相关文件。</w:t>
      </w:r>
    </w:p>
    <w:p w14:paraId="6FA1C22A">
      <w:pPr>
        <w:spacing w:line="400" w:lineRule="exact"/>
        <w:ind w:firstLine="420"/>
        <w:jc w:val="left"/>
        <w:rPr>
          <w:rFonts w:ascii="宋体" w:hAnsi="宋体" w:cs="宋体"/>
          <w:color w:val="auto"/>
          <w:sz w:val="24"/>
        </w:rPr>
      </w:pPr>
      <w:r>
        <w:rPr>
          <w:rFonts w:hint="eastAsia" w:ascii="宋体" w:hAnsi="宋体" w:cs="宋体"/>
          <w:color w:val="auto"/>
          <w:sz w:val="24"/>
        </w:rPr>
        <w:t>我方对被授权人的签字事项负全部责任。</w:t>
      </w:r>
    </w:p>
    <w:p w14:paraId="2BA2C370">
      <w:pPr>
        <w:spacing w:line="400" w:lineRule="exact"/>
        <w:ind w:firstLine="420"/>
        <w:jc w:val="left"/>
        <w:rPr>
          <w:rFonts w:ascii="宋体" w:hAnsi="宋体" w:cs="宋体"/>
          <w:color w:val="auto"/>
          <w:sz w:val="24"/>
          <w:u w:val="single"/>
        </w:rPr>
      </w:pPr>
      <w:r>
        <w:rPr>
          <w:rFonts w:hint="eastAsia" w:ascii="宋体" w:hAnsi="宋体" w:cs="宋体"/>
          <w:color w:val="auto"/>
          <w:sz w:val="24"/>
        </w:rPr>
        <w:t>授权委托代理期限：从</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日起至</w:t>
      </w:r>
      <w:r>
        <w:rPr>
          <w:rFonts w:ascii="宋体" w:hAnsi="宋体" w:cs="宋体"/>
          <w:color w:val="auto"/>
          <w:sz w:val="24"/>
        </w:rPr>
        <w:t xml:space="preserve">     </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日止。</w:t>
      </w:r>
    </w:p>
    <w:p w14:paraId="1E307509">
      <w:pPr>
        <w:spacing w:line="400" w:lineRule="exact"/>
        <w:jc w:val="left"/>
        <w:rPr>
          <w:rFonts w:ascii="宋体" w:hAnsi="宋体" w:cs="宋体"/>
          <w:color w:val="auto"/>
          <w:sz w:val="24"/>
          <w:u w:val="single"/>
        </w:rPr>
      </w:pPr>
    </w:p>
    <w:p w14:paraId="44068979">
      <w:pPr>
        <w:spacing w:line="400" w:lineRule="exact"/>
        <w:ind w:firstLine="420"/>
        <w:jc w:val="left"/>
        <w:rPr>
          <w:rFonts w:ascii="宋体" w:hAnsi="宋体" w:cs="宋体"/>
          <w:color w:val="auto"/>
          <w:sz w:val="24"/>
        </w:rPr>
      </w:pPr>
      <w:r>
        <w:rPr>
          <w:rFonts w:hint="eastAsia" w:ascii="宋体" w:hAnsi="宋体" w:cs="宋体"/>
          <w:color w:val="auto"/>
          <w:sz w:val="24"/>
        </w:rPr>
        <w:t>代理人无转委托权</w:t>
      </w:r>
      <w:r>
        <w:rPr>
          <w:rFonts w:ascii="宋体" w:hAnsi="宋体" w:cs="宋体"/>
          <w:color w:val="auto"/>
          <w:sz w:val="24"/>
        </w:rPr>
        <w:t xml:space="preserve">,特此委托。 </w:t>
      </w:r>
    </w:p>
    <w:p w14:paraId="49D4D16E">
      <w:pPr>
        <w:snapToGrid w:val="0"/>
        <w:spacing w:line="400" w:lineRule="exact"/>
        <w:ind w:firstLine="525"/>
        <w:jc w:val="left"/>
        <w:rPr>
          <w:rFonts w:ascii="宋体" w:hAnsi="宋体" w:cs="宋体"/>
          <w:color w:val="auto"/>
          <w:sz w:val="24"/>
        </w:rPr>
      </w:pPr>
    </w:p>
    <w:p w14:paraId="04734713">
      <w:pPr>
        <w:snapToGrid w:val="0"/>
        <w:spacing w:line="400" w:lineRule="exact"/>
        <w:ind w:firstLine="420"/>
        <w:jc w:val="left"/>
        <w:rPr>
          <w:rFonts w:ascii="宋体" w:hAnsi="宋体" w:cs="宋体"/>
          <w:color w:val="auto"/>
          <w:sz w:val="24"/>
        </w:rPr>
      </w:pPr>
      <w:r>
        <w:rPr>
          <w:rFonts w:hint="eastAsia" w:ascii="宋体" w:hAnsi="宋体" w:cs="宋体"/>
          <w:color w:val="auto"/>
          <w:sz w:val="24"/>
        </w:rPr>
        <w:t>我已在下面签字，以资证明。</w:t>
      </w:r>
    </w:p>
    <w:p w14:paraId="557A5CC6">
      <w:pPr>
        <w:snapToGrid w:val="0"/>
        <w:spacing w:line="400" w:lineRule="exact"/>
        <w:ind w:firstLine="420"/>
        <w:jc w:val="left"/>
        <w:rPr>
          <w:rFonts w:ascii="宋体" w:hAnsi="宋体" w:cs="宋体"/>
          <w:color w:val="auto"/>
          <w:sz w:val="24"/>
        </w:rPr>
      </w:pPr>
    </w:p>
    <w:p w14:paraId="5245EC99">
      <w:pPr>
        <w:snapToGrid w:val="0"/>
        <w:spacing w:line="400" w:lineRule="exact"/>
        <w:ind w:firstLine="420"/>
        <w:jc w:val="left"/>
        <w:rPr>
          <w:rFonts w:ascii="宋体" w:hAnsi="宋体" w:cs="宋体"/>
          <w:color w:val="auto"/>
          <w:sz w:val="24"/>
        </w:rPr>
      </w:pPr>
    </w:p>
    <w:p w14:paraId="5F928D29">
      <w:pPr>
        <w:snapToGrid w:val="0"/>
        <w:spacing w:line="400" w:lineRule="exact"/>
        <w:ind w:firstLine="420"/>
        <w:jc w:val="left"/>
        <w:rPr>
          <w:rFonts w:ascii="宋体" w:hAnsi="宋体" w:cs="宋体"/>
          <w:color w:val="auto"/>
          <w:sz w:val="24"/>
          <w:u w:val="single"/>
        </w:rPr>
      </w:pPr>
      <w:r>
        <w:rPr>
          <w:rFonts w:hint="eastAsia" w:ascii="宋体" w:hAnsi="宋体" w:cs="宋体"/>
          <w:color w:val="auto"/>
          <w:sz w:val="24"/>
        </w:rPr>
        <w:t>投标人（公章）：</w:t>
      </w:r>
    </w:p>
    <w:p w14:paraId="143E4719">
      <w:pPr>
        <w:snapToGrid w:val="0"/>
        <w:spacing w:line="400" w:lineRule="exact"/>
        <w:ind w:firstLine="420"/>
        <w:jc w:val="left"/>
        <w:rPr>
          <w:rFonts w:ascii="宋体" w:hAnsi="宋体" w:cs="宋体"/>
          <w:color w:val="auto"/>
          <w:sz w:val="24"/>
        </w:rPr>
      </w:pPr>
    </w:p>
    <w:p w14:paraId="343A3E75">
      <w:pPr>
        <w:snapToGrid w:val="0"/>
        <w:spacing w:line="400" w:lineRule="exact"/>
        <w:ind w:firstLine="420"/>
        <w:jc w:val="left"/>
        <w:rPr>
          <w:rFonts w:ascii="宋体" w:hAnsi="宋体" w:cs="宋体"/>
          <w:color w:val="auto"/>
          <w:sz w:val="24"/>
        </w:rPr>
      </w:pPr>
      <w:r>
        <w:rPr>
          <w:rFonts w:hint="eastAsia" w:ascii="宋体" w:hAnsi="宋体" w:cs="宋体"/>
          <w:color w:val="auto"/>
          <w:sz w:val="24"/>
        </w:rPr>
        <w:t>法定代表人（负责人）签字或盖章：</w:t>
      </w:r>
      <w:r>
        <w:rPr>
          <w:rFonts w:ascii="宋体" w:hAnsi="宋体" w:cs="宋体"/>
          <w:color w:val="auto"/>
          <w:sz w:val="24"/>
        </w:rPr>
        <w:t xml:space="preserve">  </w:t>
      </w:r>
    </w:p>
    <w:p w14:paraId="397AE712">
      <w:pPr>
        <w:snapToGrid w:val="0"/>
        <w:spacing w:line="400" w:lineRule="exact"/>
        <w:ind w:firstLine="720" w:firstLineChars="300"/>
        <w:jc w:val="left"/>
        <w:rPr>
          <w:rFonts w:ascii="宋体" w:hAnsi="宋体" w:cs="宋体"/>
          <w:color w:val="auto"/>
          <w:sz w:val="24"/>
        </w:rPr>
      </w:pPr>
    </w:p>
    <w:p w14:paraId="3AFF6BD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rPr>
        <w:t>日</w:t>
      </w:r>
    </w:p>
    <w:p w14:paraId="73D8E9D3">
      <w:pPr>
        <w:spacing w:line="400" w:lineRule="exact"/>
        <w:rPr>
          <w:rFonts w:ascii="宋体" w:hAnsi="宋体" w:cs="宋体"/>
          <w:b/>
          <w:color w:val="auto"/>
          <w:sz w:val="30"/>
          <w:szCs w:val="30"/>
        </w:rPr>
      </w:pPr>
      <w:r>
        <w:rPr>
          <w:rFonts w:hint="eastAsia" w:ascii="宋体" w:hAnsi="宋体" w:cs="宋体"/>
          <w:b/>
          <w:bCs/>
          <w:color w:val="auto"/>
          <w:sz w:val="24"/>
        </w:rPr>
        <w:br w:type="page"/>
      </w:r>
    </w:p>
    <w:p w14:paraId="638F31DF">
      <w:pPr>
        <w:spacing w:line="400" w:lineRule="exact"/>
        <w:jc w:val="center"/>
        <w:rPr>
          <w:rFonts w:ascii="宋体" w:hAnsi="宋体" w:cs="宋体"/>
          <w:b/>
          <w:color w:val="auto"/>
          <w:sz w:val="30"/>
          <w:szCs w:val="30"/>
        </w:rPr>
      </w:pPr>
      <w:r>
        <w:rPr>
          <w:rFonts w:hint="eastAsia" w:ascii="宋体" w:hAnsi="宋体" w:cs="宋体"/>
          <w:b/>
          <w:color w:val="auto"/>
          <w:sz w:val="30"/>
          <w:szCs w:val="30"/>
        </w:rPr>
        <w:t>技术需求响应表</w:t>
      </w:r>
    </w:p>
    <w:p w14:paraId="07791959">
      <w:pPr>
        <w:spacing w:line="400" w:lineRule="exact"/>
        <w:rPr>
          <w:rFonts w:ascii="宋体" w:hAnsi="宋体" w:cs="宋体"/>
          <w:color w:val="auto"/>
          <w:sz w:val="24"/>
        </w:rPr>
      </w:pPr>
    </w:p>
    <w:p w14:paraId="4BCE1CEF">
      <w:pPr>
        <w:spacing w:line="400" w:lineRule="exact"/>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3D38E01B">
      <w:pPr>
        <w:spacing w:line="400" w:lineRule="exact"/>
        <w:rPr>
          <w:rFonts w:hAnsi="宋体" w:cs="宋体"/>
          <w:color w:val="auto"/>
          <w:sz w:val="24"/>
          <w:u w:val="single"/>
        </w:rPr>
      </w:pPr>
      <w:r>
        <w:rPr>
          <w:rFonts w:hint="eastAsia" w:hAnsi="宋体" w:cs="宋体"/>
          <w:color w:val="auto"/>
          <w:sz w:val="24"/>
        </w:rPr>
        <w:t>采购项目编号</w:t>
      </w:r>
      <w:r>
        <w:rPr>
          <w:rFonts w:hint="eastAsia" w:ascii="宋体" w:hAnsi="宋体" w:cs="宋体"/>
          <w:color w:val="auto"/>
          <w:sz w:val="24"/>
        </w:rPr>
        <w:t>:</w:t>
      </w:r>
      <w:r>
        <w:rPr>
          <w:rFonts w:hint="eastAsia" w:hAnsi="宋体" w:cs="宋体"/>
          <w:color w:val="auto"/>
          <w:sz w:val="24"/>
          <w:u w:val="single"/>
        </w:rPr>
        <w:t xml:space="preserve">               </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79"/>
        <w:gridCol w:w="3874"/>
        <w:gridCol w:w="2400"/>
        <w:gridCol w:w="1083"/>
      </w:tblGrid>
      <w:tr w14:paraId="6755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80" w:type="dxa"/>
            <w:vAlign w:val="center"/>
          </w:tcPr>
          <w:p w14:paraId="49FA3922">
            <w:pPr>
              <w:widowControl/>
              <w:spacing w:line="400" w:lineRule="exact"/>
              <w:jc w:val="center"/>
              <w:rPr>
                <w:rFonts w:asciiTheme="minorEastAsia" w:hAnsiTheme="minorEastAsia" w:eastAsiaTheme="minorEastAsia" w:cstheme="minorEastAsia"/>
                <w:b/>
                <w:bCs/>
                <w:color w:val="auto"/>
                <w:spacing w:val="1"/>
                <w:sz w:val="24"/>
              </w:rPr>
            </w:pPr>
            <w:r>
              <w:rPr>
                <w:rFonts w:hint="eastAsia" w:ascii="宋体" w:hAnsi="宋体" w:cs="宋体"/>
                <w:b/>
                <w:bCs/>
                <w:color w:val="auto"/>
                <w:kern w:val="0"/>
                <w:sz w:val="24"/>
              </w:rPr>
              <w:t>序号</w:t>
            </w:r>
          </w:p>
        </w:tc>
        <w:tc>
          <w:tcPr>
            <w:tcW w:w="1779" w:type="dxa"/>
            <w:vAlign w:val="center"/>
          </w:tcPr>
          <w:p w14:paraId="1F6EB894">
            <w:pPr>
              <w:widowControl/>
              <w:spacing w:line="400" w:lineRule="exact"/>
              <w:jc w:val="center"/>
              <w:rPr>
                <w:rFonts w:asciiTheme="minorEastAsia" w:hAnsiTheme="minorEastAsia" w:eastAsiaTheme="minorEastAsia" w:cstheme="minorEastAsia"/>
                <w:b/>
                <w:bCs/>
                <w:color w:val="auto"/>
                <w:spacing w:val="1"/>
                <w:sz w:val="24"/>
              </w:rPr>
            </w:pPr>
            <w:r>
              <w:rPr>
                <w:rFonts w:hint="eastAsia" w:ascii="宋体" w:hAnsi="宋体" w:cs="宋体"/>
                <w:b/>
                <w:bCs/>
                <w:color w:val="auto"/>
                <w:kern w:val="0"/>
                <w:sz w:val="24"/>
              </w:rPr>
              <w:t>功能需求</w:t>
            </w:r>
          </w:p>
        </w:tc>
        <w:tc>
          <w:tcPr>
            <w:tcW w:w="3874" w:type="dxa"/>
            <w:vAlign w:val="center"/>
          </w:tcPr>
          <w:p w14:paraId="75ABB677">
            <w:pPr>
              <w:widowControl/>
              <w:spacing w:line="400" w:lineRule="exact"/>
              <w:jc w:val="center"/>
              <w:rPr>
                <w:rFonts w:asciiTheme="minorEastAsia" w:hAnsiTheme="minorEastAsia" w:eastAsiaTheme="minorEastAsia" w:cstheme="minorEastAsia"/>
                <w:b/>
                <w:bCs/>
                <w:color w:val="auto"/>
                <w:spacing w:val="1"/>
                <w:sz w:val="24"/>
              </w:rPr>
            </w:pPr>
            <w:r>
              <w:rPr>
                <w:rFonts w:hint="eastAsia" w:asciiTheme="minorEastAsia" w:hAnsiTheme="minorEastAsia" w:eastAsiaTheme="minorEastAsia" w:cstheme="minorEastAsia"/>
                <w:b/>
                <w:bCs/>
                <w:color w:val="auto"/>
                <w:spacing w:val="1"/>
                <w:sz w:val="24"/>
              </w:rPr>
              <w:t>需求内容</w:t>
            </w:r>
          </w:p>
        </w:tc>
        <w:tc>
          <w:tcPr>
            <w:tcW w:w="2400" w:type="dxa"/>
            <w:vAlign w:val="center"/>
          </w:tcPr>
          <w:p w14:paraId="5783F5FB">
            <w:pPr>
              <w:spacing w:line="400" w:lineRule="exact"/>
              <w:jc w:val="center"/>
              <w:outlineLvl w:val="0"/>
              <w:rPr>
                <w:rFonts w:asciiTheme="minorEastAsia" w:hAnsiTheme="minorEastAsia" w:eastAsiaTheme="minorEastAsia" w:cstheme="minorEastAsia"/>
                <w:b/>
                <w:bCs/>
                <w:color w:val="auto"/>
                <w:spacing w:val="1"/>
                <w:sz w:val="24"/>
              </w:rPr>
            </w:pPr>
            <w:r>
              <w:rPr>
                <w:rFonts w:hint="eastAsia" w:asciiTheme="minorEastAsia" w:hAnsiTheme="minorEastAsia" w:eastAsiaTheme="minorEastAsia" w:cstheme="minorEastAsia"/>
                <w:b/>
                <w:bCs/>
                <w:color w:val="auto"/>
                <w:spacing w:val="1"/>
                <w:sz w:val="24"/>
              </w:rPr>
              <w:t>投标文件的响应内容</w:t>
            </w:r>
          </w:p>
        </w:tc>
        <w:tc>
          <w:tcPr>
            <w:tcW w:w="1083" w:type="dxa"/>
            <w:vAlign w:val="center"/>
          </w:tcPr>
          <w:p w14:paraId="7C8076AC">
            <w:pPr>
              <w:spacing w:line="400" w:lineRule="exact"/>
              <w:jc w:val="center"/>
              <w:outlineLvl w:val="0"/>
              <w:rPr>
                <w:rFonts w:asciiTheme="minorEastAsia" w:hAnsiTheme="minorEastAsia" w:eastAsiaTheme="minorEastAsia" w:cstheme="minorEastAsia"/>
                <w:b/>
                <w:bCs/>
                <w:color w:val="auto"/>
                <w:spacing w:val="1"/>
                <w:sz w:val="24"/>
              </w:rPr>
            </w:pPr>
            <w:r>
              <w:rPr>
                <w:rFonts w:hint="eastAsia" w:asciiTheme="minorEastAsia" w:hAnsiTheme="minorEastAsia" w:eastAsiaTheme="minorEastAsia" w:cstheme="minorEastAsia"/>
                <w:b/>
                <w:bCs/>
                <w:color w:val="auto"/>
                <w:spacing w:val="1"/>
                <w:sz w:val="24"/>
              </w:rPr>
              <w:t>响应情况</w:t>
            </w:r>
          </w:p>
        </w:tc>
      </w:tr>
      <w:tr w14:paraId="6769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8D5C58D">
            <w:pPr>
              <w:widowControl/>
              <w:spacing w:line="400" w:lineRule="exact"/>
              <w:jc w:val="center"/>
              <w:rPr>
                <w:rFonts w:asciiTheme="minorEastAsia" w:hAnsiTheme="minorEastAsia" w:eastAsiaTheme="minorEastAsia" w:cstheme="minorEastAsia"/>
                <w:b/>
                <w:bCs/>
                <w:color w:val="auto"/>
                <w:spacing w:val="1"/>
                <w:sz w:val="24"/>
              </w:rPr>
            </w:pPr>
            <w:r>
              <w:rPr>
                <w:rFonts w:hint="eastAsia" w:ascii="宋体" w:hAnsi="宋体" w:cs="宋体"/>
                <w:bCs/>
                <w:color w:val="auto"/>
                <w:kern w:val="0"/>
                <w:sz w:val="24"/>
              </w:rPr>
              <w:t>1</w:t>
            </w:r>
          </w:p>
        </w:tc>
        <w:tc>
          <w:tcPr>
            <w:tcW w:w="1779" w:type="dxa"/>
            <w:vAlign w:val="center"/>
          </w:tcPr>
          <w:p w14:paraId="1C08A012">
            <w:pPr>
              <w:widowControl/>
              <w:spacing w:line="400" w:lineRule="exact"/>
              <w:jc w:val="center"/>
              <w:rPr>
                <w:rFonts w:asciiTheme="minorEastAsia" w:hAnsiTheme="minorEastAsia" w:eastAsiaTheme="minorEastAsia" w:cstheme="minorEastAsia"/>
                <w:b/>
                <w:bCs/>
                <w:color w:val="auto"/>
                <w:spacing w:val="1"/>
                <w:sz w:val="24"/>
              </w:rPr>
            </w:pPr>
          </w:p>
        </w:tc>
        <w:tc>
          <w:tcPr>
            <w:tcW w:w="3874" w:type="dxa"/>
            <w:vAlign w:val="center"/>
          </w:tcPr>
          <w:p w14:paraId="11F190F5">
            <w:pPr>
              <w:spacing w:line="400" w:lineRule="exact"/>
              <w:rPr>
                <w:rFonts w:asciiTheme="minorEastAsia" w:hAnsiTheme="minorEastAsia" w:eastAsiaTheme="minorEastAsia" w:cstheme="minorEastAsia"/>
                <w:b/>
                <w:bCs/>
                <w:color w:val="auto"/>
                <w:spacing w:val="1"/>
                <w:sz w:val="24"/>
              </w:rPr>
            </w:pPr>
          </w:p>
        </w:tc>
        <w:tc>
          <w:tcPr>
            <w:tcW w:w="2400" w:type="dxa"/>
            <w:vAlign w:val="center"/>
          </w:tcPr>
          <w:p w14:paraId="7B52C63D">
            <w:pPr>
              <w:spacing w:line="400" w:lineRule="exact"/>
              <w:outlineLvl w:val="0"/>
              <w:rPr>
                <w:rFonts w:asciiTheme="minorEastAsia" w:hAnsiTheme="minorEastAsia" w:eastAsiaTheme="minorEastAsia" w:cstheme="minorEastAsia"/>
                <w:b/>
                <w:bCs/>
                <w:color w:val="auto"/>
                <w:spacing w:val="1"/>
                <w:sz w:val="24"/>
              </w:rPr>
            </w:pPr>
          </w:p>
        </w:tc>
        <w:tc>
          <w:tcPr>
            <w:tcW w:w="1083" w:type="dxa"/>
            <w:vAlign w:val="center"/>
          </w:tcPr>
          <w:p w14:paraId="318C1E0D">
            <w:pPr>
              <w:spacing w:line="400" w:lineRule="exact"/>
              <w:outlineLvl w:val="0"/>
              <w:rPr>
                <w:rFonts w:asciiTheme="minorEastAsia" w:hAnsiTheme="minorEastAsia" w:eastAsiaTheme="minorEastAsia" w:cstheme="minorEastAsia"/>
                <w:b/>
                <w:bCs/>
                <w:color w:val="auto"/>
                <w:spacing w:val="1"/>
                <w:sz w:val="24"/>
              </w:rPr>
            </w:pPr>
          </w:p>
        </w:tc>
      </w:tr>
      <w:tr w14:paraId="703A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DAC07B5">
            <w:pPr>
              <w:widowControl/>
              <w:spacing w:line="400" w:lineRule="exact"/>
              <w:jc w:val="center"/>
              <w:rPr>
                <w:rFonts w:asciiTheme="minorEastAsia" w:hAnsiTheme="minorEastAsia" w:eastAsiaTheme="minorEastAsia" w:cstheme="minorEastAsia"/>
                <w:color w:val="auto"/>
                <w:kern w:val="0"/>
                <w:sz w:val="24"/>
              </w:rPr>
            </w:pPr>
            <w:r>
              <w:rPr>
                <w:rFonts w:hint="eastAsia" w:ascii="宋体" w:hAnsi="宋体" w:cs="宋体"/>
                <w:bCs/>
                <w:color w:val="auto"/>
                <w:kern w:val="0"/>
                <w:sz w:val="24"/>
              </w:rPr>
              <w:t>2</w:t>
            </w:r>
          </w:p>
        </w:tc>
        <w:tc>
          <w:tcPr>
            <w:tcW w:w="1779" w:type="dxa"/>
            <w:vAlign w:val="center"/>
          </w:tcPr>
          <w:p w14:paraId="2BB088F1">
            <w:pPr>
              <w:widowControl/>
              <w:spacing w:line="400" w:lineRule="exact"/>
              <w:jc w:val="center"/>
              <w:rPr>
                <w:rFonts w:asciiTheme="minorEastAsia" w:hAnsiTheme="minorEastAsia" w:eastAsiaTheme="minorEastAsia" w:cstheme="minorEastAsia"/>
                <w:color w:val="auto"/>
                <w:kern w:val="0"/>
                <w:sz w:val="24"/>
              </w:rPr>
            </w:pPr>
          </w:p>
        </w:tc>
        <w:tc>
          <w:tcPr>
            <w:tcW w:w="3874" w:type="dxa"/>
            <w:vAlign w:val="center"/>
          </w:tcPr>
          <w:p w14:paraId="2E824564">
            <w:pPr>
              <w:widowControl/>
              <w:spacing w:line="400" w:lineRule="exact"/>
              <w:jc w:val="left"/>
              <w:rPr>
                <w:rFonts w:asciiTheme="minorEastAsia" w:hAnsiTheme="minorEastAsia" w:eastAsiaTheme="minorEastAsia" w:cstheme="minorEastAsia"/>
                <w:color w:val="auto"/>
                <w:kern w:val="0"/>
                <w:sz w:val="24"/>
              </w:rPr>
            </w:pPr>
          </w:p>
        </w:tc>
        <w:tc>
          <w:tcPr>
            <w:tcW w:w="2400" w:type="dxa"/>
          </w:tcPr>
          <w:p w14:paraId="56ACDDE0">
            <w:pPr>
              <w:pStyle w:val="22"/>
              <w:spacing w:line="400" w:lineRule="exact"/>
              <w:ind w:firstLine="0" w:firstLineChars="0"/>
              <w:jc w:val="left"/>
              <w:rPr>
                <w:rFonts w:asciiTheme="minorEastAsia" w:hAnsiTheme="minorEastAsia" w:eastAsiaTheme="minorEastAsia" w:cstheme="minorEastAsia"/>
                <w:color w:val="auto"/>
                <w:kern w:val="0"/>
                <w:sz w:val="24"/>
                <w:szCs w:val="24"/>
              </w:rPr>
            </w:pPr>
          </w:p>
        </w:tc>
        <w:tc>
          <w:tcPr>
            <w:tcW w:w="1083" w:type="dxa"/>
          </w:tcPr>
          <w:p w14:paraId="40C8BE54">
            <w:pPr>
              <w:pStyle w:val="22"/>
              <w:spacing w:line="400" w:lineRule="exact"/>
              <w:ind w:firstLine="0" w:firstLineChars="0"/>
              <w:jc w:val="left"/>
              <w:rPr>
                <w:rFonts w:asciiTheme="minorEastAsia" w:hAnsiTheme="minorEastAsia" w:eastAsiaTheme="minorEastAsia" w:cstheme="minorEastAsia"/>
                <w:color w:val="auto"/>
                <w:kern w:val="0"/>
                <w:sz w:val="24"/>
                <w:szCs w:val="24"/>
              </w:rPr>
            </w:pPr>
          </w:p>
        </w:tc>
      </w:tr>
      <w:tr w14:paraId="19C8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dxa"/>
            <w:vAlign w:val="center"/>
          </w:tcPr>
          <w:p w14:paraId="0FA17E4D">
            <w:pPr>
              <w:widowControl/>
              <w:spacing w:line="400" w:lineRule="exact"/>
              <w:jc w:val="center"/>
              <w:rPr>
                <w:rFonts w:asciiTheme="minorEastAsia" w:hAnsiTheme="minorEastAsia" w:eastAsiaTheme="minorEastAsia" w:cstheme="minorEastAsia"/>
                <w:color w:val="auto"/>
                <w:kern w:val="0"/>
                <w:sz w:val="24"/>
              </w:rPr>
            </w:pPr>
            <w:r>
              <w:rPr>
                <w:rFonts w:hint="eastAsia" w:ascii="宋体" w:hAnsi="宋体" w:cs="宋体"/>
                <w:bCs/>
                <w:color w:val="auto"/>
                <w:kern w:val="0"/>
                <w:sz w:val="24"/>
              </w:rPr>
              <w:t>3</w:t>
            </w:r>
          </w:p>
        </w:tc>
        <w:tc>
          <w:tcPr>
            <w:tcW w:w="1779" w:type="dxa"/>
            <w:vAlign w:val="center"/>
          </w:tcPr>
          <w:p w14:paraId="4177040C">
            <w:pPr>
              <w:widowControl/>
              <w:spacing w:line="400" w:lineRule="exact"/>
              <w:jc w:val="center"/>
              <w:rPr>
                <w:rFonts w:asciiTheme="minorEastAsia" w:hAnsiTheme="minorEastAsia" w:eastAsiaTheme="minorEastAsia" w:cstheme="minorEastAsia"/>
                <w:color w:val="auto"/>
                <w:kern w:val="0"/>
                <w:sz w:val="24"/>
              </w:rPr>
            </w:pPr>
          </w:p>
        </w:tc>
        <w:tc>
          <w:tcPr>
            <w:tcW w:w="3874" w:type="dxa"/>
            <w:vAlign w:val="center"/>
          </w:tcPr>
          <w:p w14:paraId="0DE3236B">
            <w:pPr>
              <w:spacing w:line="400" w:lineRule="exact"/>
              <w:jc w:val="left"/>
              <w:rPr>
                <w:rFonts w:asciiTheme="minorEastAsia" w:hAnsiTheme="minorEastAsia" w:eastAsiaTheme="minorEastAsia" w:cstheme="minorEastAsia"/>
                <w:color w:val="auto"/>
                <w:kern w:val="0"/>
                <w:sz w:val="24"/>
              </w:rPr>
            </w:pPr>
          </w:p>
        </w:tc>
        <w:tc>
          <w:tcPr>
            <w:tcW w:w="2400" w:type="dxa"/>
          </w:tcPr>
          <w:p w14:paraId="5DD2784A">
            <w:pPr>
              <w:pStyle w:val="22"/>
              <w:spacing w:line="400" w:lineRule="exact"/>
              <w:ind w:firstLine="0" w:firstLineChars="0"/>
              <w:rPr>
                <w:rFonts w:asciiTheme="minorEastAsia" w:hAnsiTheme="minorEastAsia" w:eastAsiaTheme="minorEastAsia" w:cstheme="minorEastAsia"/>
                <w:color w:val="auto"/>
                <w:kern w:val="0"/>
                <w:sz w:val="24"/>
                <w:szCs w:val="24"/>
              </w:rPr>
            </w:pPr>
          </w:p>
        </w:tc>
        <w:tc>
          <w:tcPr>
            <w:tcW w:w="1083" w:type="dxa"/>
          </w:tcPr>
          <w:p w14:paraId="6E5DA677">
            <w:pPr>
              <w:pStyle w:val="22"/>
              <w:spacing w:line="400" w:lineRule="exact"/>
              <w:ind w:firstLine="0" w:firstLineChars="0"/>
              <w:rPr>
                <w:rFonts w:asciiTheme="minorEastAsia" w:hAnsiTheme="minorEastAsia" w:eastAsiaTheme="minorEastAsia" w:cstheme="minorEastAsia"/>
                <w:color w:val="auto"/>
                <w:kern w:val="0"/>
                <w:sz w:val="24"/>
                <w:szCs w:val="24"/>
              </w:rPr>
            </w:pPr>
          </w:p>
        </w:tc>
      </w:tr>
      <w:tr w14:paraId="7202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D6EB1CC">
            <w:pPr>
              <w:widowControl/>
              <w:spacing w:line="400" w:lineRule="exact"/>
              <w:jc w:val="center"/>
              <w:rPr>
                <w:rFonts w:asciiTheme="minorEastAsia" w:hAnsiTheme="minorEastAsia" w:cstheme="minorEastAsia"/>
                <w:color w:val="auto"/>
                <w:kern w:val="0"/>
                <w:sz w:val="24"/>
              </w:rPr>
            </w:pPr>
            <w:r>
              <w:rPr>
                <w:rFonts w:hint="eastAsia" w:ascii="宋体" w:hAnsi="宋体" w:cs="宋体"/>
                <w:bCs/>
                <w:color w:val="auto"/>
                <w:kern w:val="0"/>
                <w:sz w:val="24"/>
              </w:rPr>
              <w:t>...</w:t>
            </w:r>
          </w:p>
        </w:tc>
        <w:tc>
          <w:tcPr>
            <w:tcW w:w="1779" w:type="dxa"/>
            <w:vAlign w:val="center"/>
          </w:tcPr>
          <w:p w14:paraId="0AA7AF96">
            <w:pPr>
              <w:widowControl/>
              <w:spacing w:line="400" w:lineRule="exact"/>
              <w:jc w:val="center"/>
              <w:rPr>
                <w:rFonts w:asciiTheme="minorEastAsia" w:hAnsiTheme="minorEastAsia" w:eastAsiaTheme="minorEastAsia" w:cstheme="minorEastAsia"/>
                <w:color w:val="auto"/>
                <w:kern w:val="0"/>
                <w:sz w:val="24"/>
              </w:rPr>
            </w:pPr>
          </w:p>
        </w:tc>
        <w:tc>
          <w:tcPr>
            <w:tcW w:w="3874" w:type="dxa"/>
            <w:vAlign w:val="center"/>
          </w:tcPr>
          <w:p w14:paraId="5E07C41D">
            <w:pPr>
              <w:pStyle w:val="3"/>
              <w:spacing w:line="400" w:lineRule="exact"/>
              <w:outlineLvl w:val="3"/>
              <w:rPr>
                <w:rFonts w:asciiTheme="minorEastAsia" w:hAnsiTheme="minorEastAsia" w:eastAsiaTheme="minorEastAsia" w:cstheme="minorEastAsia"/>
                <w:color w:val="auto"/>
                <w:kern w:val="0"/>
                <w:sz w:val="24"/>
              </w:rPr>
            </w:pPr>
          </w:p>
        </w:tc>
        <w:tc>
          <w:tcPr>
            <w:tcW w:w="2400" w:type="dxa"/>
          </w:tcPr>
          <w:p w14:paraId="6AFB7655">
            <w:pPr>
              <w:pStyle w:val="22"/>
              <w:spacing w:line="400" w:lineRule="exact"/>
              <w:ind w:firstLine="0" w:firstLineChars="0"/>
              <w:rPr>
                <w:rFonts w:asciiTheme="minorEastAsia" w:hAnsiTheme="minorEastAsia" w:eastAsiaTheme="minorEastAsia" w:cstheme="minorEastAsia"/>
                <w:color w:val="auto"/>
                <w:kern w:val="0"/>
                <w:sz w:val="24"/>
                <w:szCs w:val="24"/>
              </w:rPr>
            </w:pPr>
          </w:p>
        </w:tc>
        <w:tc>
          <w:tcPr>
            <w:tcW w:w="1083" w:type="dxa"/>
          </w:tcPr>
          <w:p w14:paraId="4BF78700">
            <w:pPr>
              <w:pStyle w:val="22"/>
              <w:spacing w:line="400" w:lineRule="exact"/>
              <w:ind w:firstLine="0" w:firstLineChars="0"/>
              <w:rPr>
                <w:rFonts w:asciiTheme="minorEastAsia" w:hAnsiTheme="minorEastAsia" w:eastAsiaTheme="minorEastAsia" w:cstheme="minorEastAsia"/>
                <w:color w:val="auto"/>
                <w:kern w:val="0"/>
                <w:sz w:val="24"/>
                <w:szCs w:val="24"/>
              </w:rPr>
            </w:pPr>
          </w:p>
        </w:tc>
      </w:tr>
      <w:tr w14:paraId="3CEF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7" w:hRule="atLeast"/>
          <w:jc w:val="center"/>
        </w:trPr>
        <w:tc>
          <w:tcPr>
            <w:tcW w:w="9916" w:type="dxa"/>
            <w:gridSpan w:val="5"/>
            <w:vAlign w:val="center"/>
          </w:tcPr>
          <w:p w14:paraId="74B2D688">
            <w:pPr>
              <w:pStyle w:val="3"/>
              <w:spacing w:line="400" w:lineRule="exact"/>
              <w:jc w:val="left"/>
              <w:outlineLvl w:val="3"/>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注：1.按“第二章  项目需求和说明”逐条响应</w:t>
            </w:r>
          </w:p>
          <w:p w14:paraId="0BDD1EB7">
            <w:pPr>
              <w:pStyle w:val="3"/>
              <w:spacing w:line="400" w:lineRule="exact"/>
              <w:ind w:firstLine="422" w:firstLineChars="200"/>
              <w:jc w:val="left"/>
              <w:outlineLvl w:val="3"/>
              <w:rPr>
                <w:color w:val="auto"/>
              </w:rPr>
            </w:pPr>
          </w:p>
        </w:tc>
      </w:tr>
    </w:tbl>
    <w:p w14:paraId="5CE2738A">
      <w:pPr>
        <w:pStyle w:val="6"/>
        <w:spacing w:line="400" w:lineRule="exact"/>
        <w:rPr>
          <w:color w:val="auto"/>
        </w:rPr>
      </w:pPr>
    </w:p>
    <w:p w14:paraId="7677611A">
      <w:pPr>
        <w:spacing w:line="400" w:lineRule="exact"/>
        <w:rPr>
          <w:rFonts w:ascii="宋体" w:hAnsi="宋体" w:cs="宋体"/>
          <w:b/>
          <w:color w:val="auto"/>
          <w:sz w:val="30"/>
          <w:szCs w:val="30"/>
        </w:rPr>
      </w:pPr>
    </w:p>
    <w:p w14:paraId="5CD518D5">
      <w:pPr>
        <w:spacing w:line="400" w:lineRule="exact"/>
        <w:jc w:val="center"/>
        <w:rPr>
          <w:rFonts w:ascii="宋体" w:hAnsi="宋体" w:cs="宋体"/>
          <w:b/>
          <w:color w:val="auto"/>
          <w:sz w:val="30"/>
          <w:szCs w:val="30"/>
        </w:rPr>
      </w:pPr>
    </w:p>
    <w:p w14:paraId="76267CEA">
      <w:pPr>
        <w:spacing w:line="400" w:lineRule="exact"/>
        <w:jc w:val="center"/>
        <w:rPr>
          <w:rFonts w:ascii="宋体" w:hAnsi="宋体" w:cs="宋体"/>
          <w:b/>
          <w:color w:val="auto"/>
          <w:sz w:val="30"/>
          <w:szCs w:val="30"/>
        </w:rPr>
      </w:pPr>
    </w:p>
    <w:p w14:paraId="3D931F89">
      <w:pPr>
        <w:spacing w:line="400" w:lineRule="exact"/>
        <w:jc w:val="center"/>
        <w:rPr>
          <w:rFonts w:ascii="宋体" w:hAnsi="宋体" w:cs="宋体"/>
          <w:b/>
          <w:color w:val="auto"/>
          <w:sz w:val="30"/>
          <w:szCs w:val="30"/>
        </w:rPr>
      </w:pPr>
    </w:p>
    <w:p w14:paraId="502D8E6E">
      <w:pPr>
        <w:spacing w:line="400" w:lineRule="exact"/>
        <w:jc w:val="center"/>
        <w:rPr>
          <w:rFonts w:ascii="宋体" w:hAnsi="宋体" w:cs="宋体"/>
          <w:b/>
          <w:color w:val="auto"/>
          <w:sz w:val="30"/>
          <w:szCs w:val="30"/>
        </w:rPr>
      </w:pPr>
    </w:p>
    <w:p w14:paraId="7EBDEC9F">
      <w:pPr>
        <w:spacing w:line="400" w:lineRule="exact"/>
        <w:jc w:val="center"/>
        <w:rPr>
          <w:rFonts w:ascii="宋体" w:hAnsi="宋体" w:cs="宋体"/>
          <w:b/>
          <w:color w:val="auto"/>
          <w:sz w:val="30"/>
          <w:szCs w:val="30"/>
        </w:rPr>
      </w:pPr>
    </w:p>
    <w:p w14:paraId="572B87B9">
      <w:pPr>
        <w:spacing w:line="400" w:lineRule="exact"/>
        <w:jc w:val="center"/>
        <w:rPr>
          <w:rFonts w:ascii="宋体" w:hAnsi="宋体" w:cs="宋体"/>
          <w:b/>
          <w:color w:val="auto"/>
          <w:sz w:val="30"/>
          <w:szCs w:val="30"/>
        </w:rPr>
      </w:pPr>
    </w:p>
    <w:p w14:paraId="3C0296B4">
      <w:pPr>
        <w:spacing w:line="400" w:lineRule="exact"/>
        <w:jc w:val="center"/>
        <w:rPr>
          <w:rFonts w:ascii="宋体" w:hAnsi="宋体" w:cs="宋体"/>
          <w:b/>
          <w:color w:val="auto"/>
          <w:sz w:val="30"/>
          <w:szCs w:val="30"/>
        </w:rPr>
      </w:pPr>
    </w:p>
    <w:p w14:paraId="4A5C50B4">
      <w:pPr>
        <w:spacing w:line="400" w:lineRule="exact"/>
        <w:jc w:val="center"/>
        <w:rPr>
          <w:rFonts w:ascii="宋体" w:hAnsi="宋体" w:cs="宋体"/>
          <w:b/>
          <w:color w:val="auto"/>
          <w:sz w:val="30"/>
          <w:szCs w:val="30"/>
        </w:rPr>
      </w:pPr>
    </w:p>
    <w:p w14:paraId="5290F703">
      <w:pPr>
        <w:spacing w:line="400" w:lineRule="exact"/>
        <w:jc w:val="center"/>
        <w:rPr>
          <w:rFonts w:ascii="宋体" w:hAnsi="宋体" w:cs="宋体"/>
          <w:b/>
          <w:color w:val="auto"/>
          <w:sz w:val="30"/>
          <w:szCs w:val="30"/>
        </w:rPr>
      </w:pPr>
    </w:p>
    <w:p w14:paraId="1E60FDF7">
      <w:pPr>
        <w:spacing w:line="400" w:lineRule="exact"/>
        <w:jc w:val="center"/>
        <w:rPr>
          <w:rFonts w:ascii="宋体" w:hAnsi="宋体" w:cs="宋体"/>
          <w:b/>
          <w:color w:val="auto"/>
          <w:sz w:val="30"/>
          <w:szCs w:val="30"/>
        </w:rPr>
      </w:pPr>
    </w:p>
    <w:p w14:paraId="09FBB856">
      <w:pPr>
        <w:spacing w:line="400" w:lineRule="exact"/>
        <w:jc w:val="left"/>
        <w:rPr>
          <w:rFonts w:ascii="宋体" w:hAnsi="宋体" w:cs="宋体"/>
          <w:b/>
          <w:color w:val="auto"/>
          <w:sz w:val="30"/>
          <w:szCs w:val="30"/>
        </w:rPr>
      </w:pPr>
      <w:r>
        <w:rPr>
          <w:rFonts w:hint="eastAsia" w:ascii="宋体" w:hAnsi="宋体" w:cs="宋体"/>
          <w:b/>
          <w:color w:val="auto"/>
          <w:sz w:val="30"/>
          <w:szCs w:val="30"/>
        </w:rPr>
        <w:br w:type="page"/>
      </w:r>
    </w:p>
    <w:p w14:paraId="18DB7949">
      <w:pPr>
        <w:spacing w:line="400" w:lineRule="exact"/>
        <w:jc w:val="center"/>
        <w:rPr>
          <w:rFonts w:ascii="宋体" w:hAnsi="宋体" w:cs="宋体"/>
          <w:color w:val="auto"/>
          <w:sz w:val="24"/>
        </w:rPr>
      </w:pPr>
      <w:r>
        <w:rPr>
          <w:rFonts w:hint="eastAsia" w:ascii="宋体" w:hAnsi="宋体" w:cs="宋体"/>
          <w:b/>
          <w:color w:val="auto"/>
          <w:sz w:val="30"/>
          <w:szCs w:val="30"/>
        </w:rPr>
        <w:t>商务需求响应表</w:t>
      </w:r>
    </w:p>
    <w:p w14:paraId="36C8A848">
      <w:pPr>
        <w:spacing w:line="400" w:lineRule="exact"/>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14:paraId="4AECA5ED">
      <w:pPr>
        <w:spacing w:line="400" w:lineRule="exact"/>
        <w:rPr>
          <w:rFonts w:hAnsi="宋体" w:cs="宋体"/>
          <w:color w:val="auto"/>
          <w:sz w:val="24"/>
          <w:u w:val="single"/>
        </w:rPr>
      </w:pPr>
      <w:r>
        <w:rPr>
          <w:rFonts w:hint="eastAsia" w:hAnsi="宋体" w:cs="宋体"/>
          <w:color w:val="auto"/>
          <w:sz w:val="24"/>
        </w:rPr>
        <w:t>采购项目编号</w:t>
      </w:r>
      <w:r>
        <w:rPr>
          <w:rFonts w:hint="eastAsia" w:ascii="宋体" w:hAnsi="宋体" w:cs="宋体"/>
          <w:color w:val="auto"/>
          <w:sz w:val="24"/>
        </w:rPr>
        <w:t>:</w:t>
      </w:r>
      <w:r>
        <w:rPr>
          <w:rFonts w:hint="eastAsia" w:hAnsi="宋体" w:cs="宋体"/>
          <w:color w:val="auto"/>
          <w:sz w:val="24"/>
          <w:u w:val="single"/>
        </w:rPr>
        <w:t xml:space="preserve">               </w:t>
      </w:r>
    </w:p>
    <w:p w14:paraId="73A651C8">
      <w:pPr>
        <w:pStyle w:val="4"/>
        <w:spacing w:line="400" w:lineRule="exact"/>
        <w:ind w:left="0"/>
        <w:rPr>
          <w:rFonts w:ascii="宋体" w:hAnsi="宋体" w:cs="宋体"/>
          <w:color w:val="auto"/>
          <w:sz w:val="24"/>
        </w:rPr>
      </w:pPr>
    </w:p>
    <w:tbl>
      <w:tblPr>
        <w:tblStyle w:val="15"/>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640"/>
        <w:gridCol w:w="2496"/>
        <w:gridCol w:w="741"/>
      </w:tblGrid>
      <w:tr w14:paraId="669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5" w:type="dxa"/>
            <w:shd w:val="clear" w:color="auto" w:fill="auto"/>
            <w:vAlign w:val="center"/>
          </w:tcPr>
          <w:p w14:paraId="4E9C59F2">
            <w:pPr>
              <w:snapToGrid w:val="0"/>
              <w:spacing w:line="400" w:lineRule="exact"/>
              <w:jc w:val="center"/>
              <w:rPr>
                <w:rFonts w:ascii="宋体" w:hAnsi="宋体" w:cs="宋体"/>
                <w:b/>
                <w:color w:val="auto"/>
                <w:szCs w:val="21"/>
              </w:rPr>
            </w:pPr>
            <w:r>
              <w:rPr>
                <w:rFonts w:hint="eastAsia" w:ascii="宋体" w:hAnsi="宋体" w:cs="宋体"/>
                <w:b/>
                <w:color w:val="auto"/>
                <w:szCs w:val="21"/>
              </w:rPr>
              <w:t>服务要求</w:t>
            </w:r>
          </w:p>
        </w:tc>
        <w:tc>
          <w:tcPr>
            <w:tcW w:w="5640" w:type="dxa"/>
            <w:shd w:val="clear" w:color="auto" w:fill="auto"/>
            <w:vAlign w:val="center"/>
          </w:tcPr>
          <w:p w14:paraId="5F336F28">
            <w:pPr>
              <w:snapToGrid w:val="0"/>
              <w:spacing w:line="400" w:lineRule="exact"/>
              <w:jc w:val="center"/>
              <w:rPr>
                <w:rFonts w:ascii="宋体" w:hAnsi="宋体" w:cs="宋体"/>
                <w:b/>
                <w:color w:val="auto"/>
                <w:szCs w:val="21"/>
              </w:rPr>
            </w:pPr>
            <w:r>
              <w:rPr>
                <w:rFonts w:hint="eastAsia" w:ascii="宋体" w:hAnsi="宋体" w:cs="宋体"/>
                <w:b/>
                <w:color w:val="auto"/>
                <w:szCs w:val="21"/>
              </w:rPr>
              <w:t>服务要求内容</w:t>
            </w:r>
          </w:p>
        </w:tc>
        <w:tc>
          <w:tcPr>
            <w:tcW w:w="2496" w:type="dxa"/>
            <w:shd w:val="clear" w:color="auto" w:fill="auto"/>
            <w:vAlign w:val="center"/>
          </w:tcPr>
          <w:p w14:paraId="533C2DFE">
            <w:pPr>
              <w:snapToGrid w:val="0"/>
              <w:spacing w:line="400" w:lineRule="exact"/>
              <w:jc w:val="center"/>
              <w:rPr>
                <w:rFonts w:ascii="宋体" w:hAnsi="宋体" w:cs="宋体"/>
                <w:b/>
                <w:color w:val="auto"/>
                <w:szCs w:val="21"/>
              </w:rPr>
            </w:pPr>
            <w:r>
              <w:rPr>
                <w:rFonts w:hint="eastAsia" w:ascii="宋体" w:hAnsi="宋体" w:cs="宋体"/>
                <w:b/>
                <w:color w:val="auto"/>
                <w:szCs w:val="21"/>
              </w:rPr>
              <w:t>响应内容</w:t>
            </w:r>
          </w:p>
        </w:tc>
        <w:tc>
          <w:tcPr>
            <w:tcW w:w="741" w:type="dxa"/>
            <w:shd w:val="clear" w:color="auto" w:fill="auto"/>
            <w:vAlign w:val="center"/>
          </w:tcPr>
          <w:p w14:paraId="46BD48A8">
            <w:pPr>
              <w:snapToGrid w:val="0"/>
              <w:spacing w:line="400" w:lineRule="exact"/>
              <w:jc w:val="center"/>
              <w:rPr>
                <w:rFonts w:ascii="宋体" w:hAnsi="宋体" w:cs="宋体"/>
                <w:b/>
                <w:color w:val="auto"/>
                <w:szCs w:val="21"/>
              </w:rPr>
            </w:pPr>
            <w:r>
              <w:rPr>
                <w:rFonts w:hint="eastAsia" w:ascii="宋体" w:hAnsi="宋体" w:cs="宋体"/>
                <w:b/>
                <w:color w:val="auto"/>
                <w:szCs w:val="21"/>
              </w:rPr>
              <w:t>响应情况</w:t>
            </w:r>
          </w:p>
        </w:tc>
      </w:tr>
      <w:tr w14:paraId="7EA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jc w:val="center"/>
        </w:trPr>
        <w:tc>
          <w:tcPr>
            <w:tcW w:w="1125" w:type="dxa"/>
            <w:shd w:val="clear" w:color="auto" w:fill="auto"/>
            <w:vAlign w:val="center"/>
          </w:tcPr>
          <w:p w14:paraId="1EF8438E">
            <w:pPr>
              <w:widowControl/>
              <w:spacing w:line="400" w:lineRule="exact"/>
              <w:jc w:val="left"/>
              <w:rPr>
                <w:rFonts w:ascii="宋体" w:hAnsi="宋体" w:cs="宋体"/>
                <w:color w:val="auto"/>
                <w:szCs w:val="21"/>
              </w:rPr>
            </w:pPr>
            <w:r>
              <w:rPr>
                <w:rFonts w:hint="eastAsia" w:ascii="宋体" w:hAnsi="宋体"/>
                <w:color w:val="auto"/>
                <w:sz w:val="21"/>
                <w:szCs w:val="21"/>
              </w:rPr>
              <w:t>售后服务要求及免费维护、升级期</w:t>
            </w:r>
          </w:p>
        </w:tc>
        <w:tc>
          <w:tcPr>
            <w:tcW w:w="5640" w:type="dxa"/>
            <w:shd w:val="clear" w:color="auto" w:fill="auto"/>
            <w:vAlign w:val="center"/>
          </w:tcPr>
          <w:p w14:paraId="1CE9E37D">
            <w:pPr>
              <w:widowControl/>
              <w:spacing w:line="400" w:lineRule="exact"/>
              <w:jc w:val="left"/>
              <w:rPr>
                <w:rFonts w:ascii="宋体" w:hAnsi="宋体"/>
                <w:color w:val="auto"/>
                <w:sz w:val="21"/>
                <w:szCs w:val="21"/>
              </w:rPr>
            </w:pPr>
            <w:r>
              <w:rPr>
                <w:rFonts w:hint="eastAsia" w:ascii="宋体" w:hAnsi="宋体"/>
                <w:color w:val="auto"/>
                <w:sz w:val="21"/>
                <w:szCs w:val="21"/>
              </w:rPr>
              <w:t>1、按国家有关产品“三包”规定执行“三包”，产品免费保修（维护、技术支持）期最短不得少于1年；免费保修（维护、技术支持）期均从验收合格交付使用之日起计算。免费保修（维护、技术支持）期内免费上门维修，免费更换零配件）。</w:t>
            </w:r>
          </w:p>
          <w:p w14:paraId="3DD259A2">
            <w:pPr>
              <w:widowControl/>
              <w:spacing w:line="400" w:lineRule="exact"/>
              <w:jc w:val="left"/>
              <w:rPr>
                <w:rFonts w:ascii="宋体" w:hAnsi="宋体"/>
                <w:color w:val="auto"/>
                <w:sz w:val="21"/>
                <w:szCs w:val="21"/>
              </w:rPr>
            </w:pPr>
            <w:r>
              <w:rPr>
                <w:rFonts w:hint="eastAsia" w:ascii="宋体" w:hAnsi="宋体"/>
                <w:color w:val="auto"/>
                <w:sz w:val="21"/>
                <w:szCs w:val="21"/>
              </w:rPr>
              <w:t>2、提供7×24小时免费上门服务，接招标人报障电话2小时内响应，设备生产厂家或其授权工程师需在2小时内抵达现场；故障无法当日解决必须提供同档次备件或备机（项目采购需求“要求”中有特别规定的，按规定执行）。因人为因素出现的故障不在免费保修范围内。超过保修期的货物，终生维修，维修时只收部件成本费。</w:t>
            </w:r>
          </w:p>
          <w:p w14:paraId="055AA5F8">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3、★为保障项目在设备安装调试、系统联调及后期运维阶段的高效推进，同时确保7×24小时故障响应、1小时内现场技术支持的售后标准，本项目承接方须为在本地设有常驻技术团队、仓储中心及售后网点的本地化服务企业（提供营业执照副本复印件或办公场地产权或租赁合同复印件等）。</w:t>
            </w:r>
          </w:p>
        </w:tc>
        <w:tc>
          <w:tcPr>
            <w:tcW w:w="2496" w:type="dxa"/>
            <w:shd w:val="clear" w:color="auto" w:fill="auto"/>
            <w:vAlign w:val="center"/>
          </w:tcPr>
          <w:p w14:paraId="68E6B181">
            <w:pPr>
              <w:snapToGrid w:val="0"/>
              <w:spacing w:line="400" w:lineRule="exact"/>
              <w:jc w:val="center"/>
              <w:rPr>
                <w:rFonts w:ascii="宋体" w:hAnsi="宋体" w:cs="宋体"/>
                <w:b/>
                <w:color w:val="auto"/>
                <w:szCs w:val="21"/>
              </w:rPr>
            </w:pPr>
          </w:p>
        </w:tc>
        <w:tc>
          <w:tcPr>
            <w:tcW w:w="741" w:type="dxa"/>
            <w:shd w:val="clear" w:color="auto" w:fill="auto"/>
            <w:vAlign w:val="center"/>
          </w:tcPr>
          <w:p w14:paraId="75349E17">
            <w:pPr>
              <w:snapToGrid w:val="0"/>
              <w:spacing w:line="400" w:lineRule="exact"/>
              <w:jc w:val="center"/>
              <w:rPr>
                <w:rFonts w:ascii="宋体" w:hAnsi="宋体" w:cs="宋体"/>
                <w:b/>
                <w:color w:val="auto"/>
                <w:szCs w:val="21"/>
              </w:rPr>
            </w:pPr>
          </w:p>
        </w:tc>
      </w:tr>
      <w:tr w14:paraId="40BC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125" w:type="dxa"/>
            <w:shd w:val="clear" w:color="auto" w:fill="auto"/>
            <w:vAlign w:val="center"/>
          </w:tcPr>
          <w:p w14:paraId="22E96D18">
            <w:pPr>
              <w:widowControl/>
              <w:spacing w:line="400" w:lineRule="exact"/>
              <w:jc w:val="left"/>
              <w:rPr>
                <w:rFonts w:ascii="宋体" w:hAnsi="宋体" w:cs="宋体"/>
                <w:color w:val="auto"/>
                <w:szCs w:val="21"/>
              </w:rPr>
            </w:pPr>
            <w:r>
              <w:rPr>
                <w:rFonts w:hint="eastAsia" w:ascii="宋体" w:hAnsi="宋体"/>
                <w:color w:val="auto"/>
                <w:szCs w:val="21"/>
              </w:rPr>
              <w:t>交付使用时间及地点</w:t>
            </w:r>
          </w:p>
        </w:tc>
        <w:tc>
          <w:tcPr>
            <w:tcW w:w="5640" w:type="dxa"/>
            <w:shd w:val="clear" w:color="auto" w:fill="auto"/>
            <w:vAlign w:val="center"/>
          </w:tcPr>
          <w:p w14:paraId="1D541E1F">
            <w:pPr>
              <w:widowControl/>
              <w:spacing w:line="400" w:lineRule="exact"/>
              <w:jc w:val="left"/>
              <w:rPr>
                <w:rFonts w:ascii="宋体" w:hAnsi="宋体"/>
                <w:color w:val="auto"/>
                <w:sz w:val="21"/>
                <w:szCs w:val="21"/>
              </w:rPr>
            </w:pPr>
            <w:r>
              <w:rPr>
                <w:rFonts w:hint="eastAsia" w:ascii="宋体" w:hAnsi="宋体"/>
                <w:color w:val="auto"/>
                <w:sz w:val="21"/>
                <w:szCs w:val="21"/>
              </w:rPr>
              <w:t>1、交付使用时间</w:t>
            </w:r>
          </w:p>
          <w:p w14:paraId="5096F0B8">
            <w:pPr>
              <w:widowControl/>
              <w:spacing w:line="400" w:lineRule="exact"/>
              <w:jc w:val="left"/>
              <w:rPr>
                <w:rFonts w:ascii="宋体" w:hAnsi="宋体"/>
                <w:color w:val="auto"/>
                <w:sz w:val="21"/>
                <w:szCs w:val="21"/>
              </w:rPr>
            </w:pPr>
            <w:r>
              <w:rPr>
                <w:rFonts w:hint="eastAsia" w:ascii="宋体" w:hAnsi="宋体"/>
                <w:color w:val="auto"/>
                <w:sz w:val="21"/>
                <w:szCs w:val="21"/>
              </w:rPr>
              <w:t>（1）货物：自接到医院货物采购需求7个日历日内送货上门并完成安装调试运行。</w:t>
            </w:r>
          </w:p>
          <w:p w14:paraId="270690FE">
            <w:pPr>
              <w:widowControl/>
              <w:spacing w:line="400" w:lineRule="exact"/>
              <w:jc w:val="left"/>
              <w:rPr>
                <w:rFonts w:ascii="宋体" w:hAnsi="宋体"/>
                <w:color w:val="auto"/>
                <w:sz w:val="21"/>
                <w:szCs w:val="21"/>
              </w:rPr>
            </w:pPr>
            <w:r>
              <w:rPr>
                <w:rFonts w:hint="eastAsia" w:ascii="宋体" w:hAnsi="宋体"/>
                <w:color w:val="auto"/>
                <w:sz w:val="21"/>
                <w:szCs w:val="21"/>
              </w:rPr>
              <w:t>（2）综合布线：自接到医院综合布线任务10个日历日内完成施工。</w:t>
            </w:r>
          </w:p>
          <w:p w14:paraId="1A05D341">
            <w:pPr>
              <w:widowControl/>
              <w:spacing w:line="400" w:lineRule="exact"/>
              <w:jc w:val="left"/>
              <w:rPr>
                <w:rFonts w:ascii="宋体" w:hAnsi="宋体" w:cs="宋体"/>
                <w:b/>
                <w:color w:val="auto"/>
                <w:szCs w:val="21"/>
              </w:rPr>
            </w:pPr>
            <w:r>
              <w:rPr>
                <w:rFonts w:hint="eastAsia" w:ascii="宋体" w:hAnsi="宋体"/>
                <w:color w:val="auto"/>
                <w:sz w:val="21"/>
                <w:szCs w:val="21"/>
              </w:rPr>
              <w:t>2、交货地点：广西桂林市采购人指定地点。</w:t>
            </w:r>
          </w:p>
        </w:tc>
        <w:tc>
          <w:tcPr>
            <w:tcW w:w="2496" w:type="dxa"/>
            <w:shd w:val="clear" w:color="auto" w:fill="auto"/>
            <w:vAlign w:val="center"/>
          </w:tcPr>
          <w:p w14:paraId="3B8FE519">
            <w:pPr>
              <w:snapToGrid w:val="0"/>
              <w:spacing w:line="400" w:lineRule="exact"/>
              <w:jc w:val="center"/>
              <w:rPr>
                <w:rFonts w:ascii="宋体" w:hAnsi="宋体" w:cs="宋体"/>
                <w:b/>
                <w:color w:val="auto"/>
                <w:szCs w:val="21"/>
              </w:rPr>
            </w:pPr>
          </w:p>
        </w:tc>
        <w:tc>
          <w:tcPr>
            <w:tcW w:w="741" w:type="dxa"/>
            <w:shd w:val="clear" w:color="auto" w:fill="auto"/>
            <w:vAlign w:val="center"/>
          </w:tcPr>
          <w:p w14:paraId="1A54C2A8">
            <w:pPr>
              <w:snapToGrid w:val="0"/>
              <w:spacing w:line="400" w:lineRule="exact"/>
              <w:jc w:val="center"/>
              <w:rPr>
                <w:rFonts w:ascii="宋体" w:hAnsi="宋体" w:cs="宋体"/>
                <w:b/>
                <w:color w:val="auto"/>
                <w:szCs w:val="21"/>
              </w:rPr>
            </w:pPr>
          </w:p>
        </w:tc>
      </w:tr>
      <w:tr w14:paraId="76E9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shd w:val="clear" w:color="auto" w:fill="auto"/>
            <w:vAlign w:val="center"/>
          </w:tcPr>
          <w:p w14:paraId="15E033C7">
            <w:pPr>
              <w:widowControl/>
              <w:spacing w:line="400" w:lineRule="exact"/>
              <w:jc w:val="left"/>
              <w:rPr>
                <w:rFonts w:ascii="宋体" w:hAnsi="宋体" w:cs="宋体"/>
                <w:color w:val="auto"/>
                <w:szCs w:val="21"/>
              </w:rPr>
            </w:pPr>
            <w:r>
              <w:rPr>
                <w:rFonts w:hint="eastAsia" w:ascii="宋体" w:hAnsi="宋体"/>
                <w:color w:val="auto"/>
                <w:szCs w:val="21"/>
              </w:rPr>
              <w:t>付款方式</w:t>
            </w:r>
          </w:p>
        </w:tc>
        <w:tc>
          <w:tcPr>
            <w:tcW w:w="5640" w:type="dxa"/>
            <w:shd w:val="clear" w:color="auto" w:fill="auto"/>
            <w:vAlign w:val="center"/>
          </w:tcPr>
          <w:p w14:paraId="552F298A">
            <w:pPr>
              <w:widowControl/>
              <w:spacing w:line="400" w:lineRule="exact"/>
              <w:jc w:val="left"/>
              <w:rPr>
                <w:rFonts w:ascii="宋体" w:hAnsi="宋体" w:cs="宋体"/>
                <w:b/>
                <w:color w:val="auto"/>
                <w:szCs w:val="21"/>
              </w:rPr>
            </w:pPr>
            <w:r>
              <w:rPr>
                <w:rFonts w:hint="eastAsia" w:ascii="宋体" w:hAnsi="宋体"/>
                <w:color w:val="auto"/>
                <w:szCs w:val="21"/>
              </w:rPr>
              <w:t>货款每（季度）结算一次，货物验收合格后，乙方按实际送货的数量及核实的结算总价款向甲方出具正规等额、有效发票，甲方自收到发票30个工作日后将全部货款支付给乙方。</w:t>
            </w:r>
          </w:p>
        </w:tc>
        <w:tc>
          <w:tcPr>
            <w:tcW w:w="2496" w:type="dxa"/>
            <w:shd w:val="clear" w:color="auto" w:fill="auto"/>
            <w:vAlign w:val="center"/>
          </w:tcPr>
          <w:p w14:paraId="0D598195">
            <w:pPr>
              <w:snapToGrid w:val="0"/>
              <w:spacing w:line="400" w:lineRule="exact"/>
              <w:jc w:val="center"/>
              <w:rPr>
                <w:rFonts w:ascii="宋体" w:hAnsi="宋体" w:cs="宋体"/>
                <w:b/>
                <w:color w:val="auto"/>
                <w:szCs w:val="21"/>
              </w:rPr>
            </w:pPr>
          </w:p>
        </w:tc>
        <w:tc>
          <w:tcPr>
            <w:tcW w:w="741" w:type="dxa"/>
            <w:shd w:val="clear" w:color="auto" w:fill="auto"/>
            <w:vAlign w:val="center"/>
          </w:tcPr>
          <w:p w14:paraId="3DCCDA91">
            <w:pPr>
              <w:snapToGrid w:val="0"/>
              <w:spacing w:line="400" w:lineRule="exact"/>
              <w:jc w:val="center"/>
              <w:rPr>
                <w:rFonts w:ascii="宋体" w:hAnsi="宋体" w:cs="宋体"/>
                <w:b/>
                <w:color w:val="auto"/>
                <w:szCs w:val="21"/>
              </w:rPr>
            </w:pPr>
          </w:p>
        </w:tc>
      </w:tr>
      <w:tr w14:paraId="79F9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125" w:type="dxa"/>
            <w:shd w:val="clear" w:color="auto" w:fill="auto"/>
            <w:vAlign w:val="center"/>
          </w:tcPr>
          <w:p w14:paraId="6129E085">
            <w:pPr>
              <w:widowControl/>
              <w:spacing w:line="400" w:lineRule="exact"/>
              <w:jc w:val="left"/>
              <w:rPr>
                <w:rFonts w:ascii="宋体" w:hAnsi="宋体"/>
                <w:color w:val="auto"/>
                <w:szCs w:val="21"/>
              </w:rPr>
            </w:pPr>
            <w:r>
              <w:rPr>
                <w:rFonts w:hint="eastAsia" w:ascii="宋体" w:hAnsi="宋体"/>
                <w:color w:val="auto"/>
                <w:szCs w:val="21"/>
              </w:rPr>
              <w:t>验收</w:t>
            </w:r>
          </w:p>
          <w:p w14:paraId="16E7E5D3">
            <w:pPr>
              <w:widowControl/>
              <w:spacing w:line="400" w:lineRule="exact"/>
              <w:jc w:val="left"/>
              <w:rPr>
                <w:rFonts w:ascii="宋体" w:hAnsi="宋体" w:eastAsia="宋体" w:cs="宋体"/>
                <w:color w:val="auto"/>
                <w:kern w:val="2"/>
                <w:sz w:val="21"/>
                <w:szCs w:val="21"/>
                <w:lang w:val="en-US" w:eastAsia="zh-CN" w:bidi="ar-SA"/>
              </w:rPr>
            </w:pPr>
            <w:r>
              <w:rPr>
                <w:rFonts w:hint="eastAsia" w:ascii="宋体" w:hAnsi="宋体"/>
                <w:color w:val="auto"/>
                <w:szCs w:val="21"/>
              </w:rPr>
              <w:t>要求</w:t>
            </w:r>
          </w:p>
        </w:tc>
        <w:tc>
          <w:tcPr>
            <w:tcW w:w="5640" w:type="dxa"/>
            <w:shd w:val="clear" w:color="auto" w:fill="auto"/>
            <w:vAlign w:val="center"/>
          </w:tcPr>
          <w:p w14:paraId="2DD22421">
            <w:pPr>
              <w:widowControl/>
              <w:spacing w:line="400" w:lineRule="exact"/>
              <w:jc w:val="left"/>
              <w:rPr>
                <w:rFonts w:ascii="宋体" w:hAnsi="宋体"/>
                <w:color w:val="auto"/>
                <w:sz w:val="21"/>
                <w:szCs w:val="21"/>
              </w:rPr>
            </w:pPr>
            <w:r>
              <w:rPr>
                <w:rFonts w:hint="eastAsia" w:ascii="宋体" w:hAnsi="宋体"/>
                <w:color w:val="auto"/>
                <w:sz w:val="21"/>
                <w:szCs w:val="21"/>
              </w:rPr>
              <w:t>1、★货物验收：招标范围内的货物免费送货上门，免费安装调试合格，免费提供技术培训（包括免费提供完善的产品使用、操作培训及中文操作手册）。</w:t>
            </w:r>
          </w:p>
          <w:p w14:paraId="0EB33CDC">
            <w:pPr>
              <w:widowControl/>
              <w:spacing w:line="400" w:lineRule="exact"/>
              <w:jc w:val="left"/>
              <w:rPr>
                <w:rFonts w:ascii="宋体" w:hAnsi="宋体"/>
                <w:color w:val="auto"/>
                <w:sz w:val="21"/>
                <w:szCs w:val="21"/>
              </w:rPr>
            </w:pPr>
            <w:r>
              <w:rPr>
                <w:rFonts w:hint="eastAsia" w:ascii="宋体" w:hAnsi="宋体"/>
                <w:color w:val="auto"/>
                <w:sz w:val="21"/>
                <w:szCs w:val="21"/>
              </w:rPr>
              <w:t>2、★综合布线施工验收</w:t>
            </w:r>
          </w:p>
          <w:p w14:paraId="0EE945F5">
            <w:pPr>
              <w:widowControl/>
              <w:spacing w:line="400" w:lineRule="exact"/>
              <w:jc w:val="left"/>
              <w:rPr>
                <w:rFonts w:ascii="宋体" w:hAnsi="宋体"/>
                <w:color w:val="auto"/>
                <w:sz w:val="21"/>
                <w:szCs w:val="21"/>
              </w:rPr>
            </w:pPr>
            <w:r>
              <w:rPr>
                <w:rFonts w:hint="eastAsia" w:ascii="宋体" w:hAnsi="宋体"/>
                <w:color w:val="auto"/>
                <w:sz w:val="21"/>
                <w:szCs w:val="21"/>
              </w:rPr>
              <w:t>（1）医院综合布线系统与基础架构的建设完成后，必须对原有网络与综合布线系统进行整理，机房机柜重新摆放，弱电系统进行标准化整理，对机房内网络线路统一贴标。</w:t>
            </w:r>
          </w:p>
          <w:p w14:paraId="31219D5E">
            <w:pPr>
              <w:widowControl/>
              <w:spacing w:line="400" w:lineRule="exact"/>
              <w:jc w:val="left"/>
              <w:rPr>
                <w:rFonts w:ascii="宋体" w:hAnsi="宋体"/>
                <w:color w:val="auto"/>
                <w:sz w:val="21"/>
                <w:szCs w:val="21"/>
              </w:rPr>
            </w:pPr>
            <w:r>
              <w:rPr>
                <w:rFonts w:hint="eastAsia" w:ascii="宋体" w:hAnsi="宋体"/>
                <w:color w:val="auto"/>
                <w:sz w:val="21"/>
                <w:szCs w:val="21"/>
              </w:rPr>
              <w:t>（2）综合布线施工完成后能通过福禄克Fluke网络专业测试仪测试，并出具报告，基础网络系统集成，机房系统集成。</w:t>
            </w:r>
          </w:p>
          <w:p w14:paraId="2D43D4B3">
            <w:pPr>
              <w:widowControl/>
              <w:spacing w:line="400" w:lineRule="exact"/>
              <w:jc w:val="left"/>
              <w:rPr>
                <w:rFonts w:ascii="宋体" w:hAnsi="宋体"/>
                <w:color w:val="auto"/>
                <w:sz w:val="21"/>
                <w:szCs w:val="21"/>
              </w:rPr>
            </w:pPr>
            <w:r>
              <w:rPr>
                <w:rFonts w:hint="eastAsia" w:ascii="宋体" w:hAnsi="宋体"/>
                <w:color w:val="auto"/>
                <w:sz w:val="21"/>
                <w:szCs w:val="21"/>
              </w:rPr>
              <w:t>（3）按《综合布线系统工程验收规范GB/T 50312-2016》验收标准执行。</w:t>
            </w:r>
          </w:p>
          <w:p w14:paraId="5738FE89">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3、★如货物及综合布线项目实施完工后，未满足以上验收要求，招标人将有权不予以验收。</w:t>
            </w:r>
          </w:p>
        </w:tc>
        <w:tc>
          <w:tcPr>
            <w:tcW w:w="2496" w:type="dxa"/>
            <w:shd w:val="clear" w:color="auto" w:fill="auto"/>
            <w:vAlign w:val="center"/>
          </w:tcPr>
          <w:p w14:paraId="43A96095">
            <w:pPr>
              <w:snapToGrid w:val="0"/>
              <w:spacing w:line="400" w:lineRule="exact"/>
              <w:jc w:val="center"/>
              <w:rPr>
                <w:rFonts w:ascii="宋体" w:hAnsi="宋体" w:cs="宋体"/>
                <w:b/>
                <w:color w:val="auto"/>
                <w:szCs w:val="21"/>
              </w:rPr>
            </w:pPr>
          </w:p>
        </w:tc>
        <w:tc>
          <w:tcPr>
            <w:tcW w:w="741" w:type="dxa"/>
            <w:shd w:val="clear" w:color="auto" w:fill="auto"/>
            <w:vAlign w:val="center"/>
          </w:tcPr>
          <w:p w14:paraId="53EB03B4">
            <w:pPr>
              <w:snapToGrid w:val="0"/>
              <w:spacing w:line="400" w:lineRule="exact"/>
              <w:jc w:val="center"/>
              <w:rPr>
                <w:rFonts w:ascii="宋体" w:hAnsi="宋体" w:cs="宋体"/>
                <w:b/>
                <w:color w:val="auto"/>
                <w:szCs w:val="21"/>
              </w:rPr>
            </w:pPr>
          </w:p>
        </w:tc>
      </w:tr>
      <w:tr w14:paraId="1F8C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1125" w:type="dxa"/>
            <w:shd w:val="clear" w:color="auto" w:fill="auto"/>
            <w:vAlign w:val="center"/>
          </w:tcPr>
          <w:p w14:paraId="75F98640">
            <w:pPr>
              <w:widowControl/>
              <w:spacing w:line="400" w:lineRule="exact"/>
              <w:jc w:val="left"/>
              <w:rPr>
                <w:rFonts w:ascii="宋体" w:hAnsi="宋体"/>
                <w:color w:val="auto"/>
                <w:szCs w:val="21"/>
              </w:rPr>
            </w:pPr>
            <w:r>
              <w:rPr>
                <w:rFonts w:hint="eastAsia" w:ascii="宋体" w:hAnsi="宋体"/>
                <w:color w:val="auto"/>
                <w:szCs w:val="21"/>
              </w:rPr>
              <w:t>其他</w:t>
            </w:r>
          </w:p>
          <w:p w14:paraId="45316134">
            <w:pPr>
              <w:widowControl/>
              <w:spacing w:line="400" w:lineRule="exact"/>
              <w:jc w:val="left"/>
              <w:rPr>
                <w:rFonts w:ascii="宋体" w:hAnsi="宋体" w:eastAsia="宋体" w:cs="宋体"/>
                <w:color w:val="auto"/>
                <w:kern w:val="2"/>
                <w:sz w:val="21"/>
                <w:szCs w:val="21"/>
                <w:lang w:val="zh-CN" w:eastAsia="zh-CN" w:bidi="ar-SA"/>
              </w:rPr>
            </w:pPr>
            <w:r>
              <w:rPr>
                <w:rFonts w:hint="eastAsia" w:ascii="宋体" w:hAnsi="宋体"/>
                <w:color w:val="auto"/>
                <w:szCs w:val="21"/>
              </w:rPr>
              <w:t>要求</w:t>
            </w:r>
          </w:p>
        </w:tc>
        <w:tc>
          <w:tcPr>
            <w:tcW w:w="5640" w:type="dxa"/>
            <w:shd w:val="clear" w:color="auto" w:fill="auto"/>
            <w:vAlign w:val="center"/>
          </w:tcPr>
          <w:p w14:paraId="28F466AB">
            <w:pPr>
              <w:widowControl/>
              <w:spacing w:line="400" w:lineRule="exact"/>
              <w:jc w:val="left"/>
              <w:rPr>
                <w:rFonts w:ascii="宋体" w:hAnsi="宋体" w:cs="宋体"/>
                <w:color w:val="auto"/>
                <w:kern w:val="0"/>
                <w:sz w:val="21"/>
                <w:szCs w:val="21"/>
              </w:rPr>
            </w:pPr>
            <w:r>
              <w:rPr>
                <w:rFonts w:hint="eastAsia" w:ascii="宋体" w:hAnsi="宋体"/>
                <w:color w:val="auto"/>
                <w:szCs w:val="21"/>
              </w:rPr>
              <w:t>1、签订合同时必须提供所投本项目第1-28序号产品生产厂家盖章并针对本项目出具的授权书及售后服务承诺书原件，否则</w:t>
            </w:r>
            <w:r>
              <w:rPr>
                <w:rFonts w:hint="eastAsia" w:ascii="宋体" w:hAnsi="宋体"/>
                <w:color w:val="auto"/>
                <w:szCs w:val="21"/>
                <w:lang w:eastAsia="zh-CN"/>
              </w:rPr>
              <w:t>不予签订合同</w:t>
            </w:r>
            <w:r>
              <w:rPr>
                <w:rFonts w:hint="eastAsia" w:ascii="宋体" w:hAnsi="宋体"/>
                <w:color w:val="auto"/>
                <w:szCs w:val="21"/>
              </w:rPr>
              <w:t>。</w:t>
            </w:r>
          </w:p>
          <w:p w14:paraId="5E673655">
            <w:pPr>
              <w:widowControl/>
              <w:spacing w:line="400" w:lineRule="exact"/>
              <w:jc w:val="left"/>
              <w:rPr>
                <w:rFonts w:ascii="宋体" w:hAnsi="宋体"/>
                <w:color w:val="auto"/>
                <w:sz w:val="21"/>
                <w:szCs w:val="21"/>
              </w:rPr>
            </w:pPr>
            <w:r>
              <w:rPr>
                <w:rFonts w:hint="eastAsia" w:ascii="宋体" w:hAnsi="宋体"/>
                <w:color w:val="auto"/>
                <w:sz w:val="21"/>
                <w:szCs w:val="21"/>
              </w:rPr>
              <w:t>2、新增网络线路需按要求与医院现有网络进行系统集成。</w:t>
            </w:r>
          </w:p>
          <w:p w14:paraId="20F05C32">
            <w:pPr>
              <w:widowControl/>
              <w:spacing w:line="400" w:lineRule="exact"/>
              <w:jc w:val="left"/>
              <w:rPr>
                <w:rFonts w:ascii="宋体" w:hAnsi="宋体"/>
                <w:color w:val="auto"/>
                <w:sz w:val="21"/>
                <w:szCs w:val="21"/>
              </w:rPr>
            </w:pPr>
            <w:r>
              <w:rPr>
                <w:rFonts w:hint="eastAsia" w:ascii="宋体" w:hAnsi="宋体"/>
                <w:color w:val="auto"/>
                <w:sz w:val="21"/>
                <w:szCs w:val="21"/>
              </w:rPr>
              <w:t>3、本次招标所有货物报价按单项报价，如有二次报价按单项下浮报价，否则投标无效。</w:t>
            </w:r>
          </w:p>
          <w:p w14:paraId="0C118CB6">
            <w:pPr>
              <w:widowControl/>
              <w:spacing w:line="400" w:lineRule="exact"/>
              <w:jc w:val="left"/>
              <w:rPr>
                <w:rFonts w:ascii="宋体" w:hAnsi="宋体"/>
                <w:color w:val="auto"/>
                <w:sz w:val="21"/>
                <w:szCs w:val="21"/>
              </w:rPr>
            </w:pPr>
            <w:r>
              <w:rPr>
                <w:rFonts w:hint="eastAsia" w:ascii="宋体" w:hAnsi="宋体"/>
                <w:color w:val="auto"/>
                <w:sz w:val="21"/>
                <w:szCs w:val="21"/>
              </w:rPr>
              <w:t>4、本项目不接受联合体投标。</w:t>
            </w:r>
          </w:p>
          <w:p w14:paraId="5806E818">
            <w:pPr>
              <w:widowControl/>
              <w:spacing w:line="400" w:lineRule="exact"/>
              <w:jc w:val="left"/>
              <w:rPr>
                <w:rFonts w:ascii="宋体" w:hAnsi="宋体" w:eastAsia="宋体" w:cs="宋体"/>
                <w:bCs/>
                <w:color w:val="auto"/>
                <w:kern w:val="2"/>
                <w:sz w:val="21"/>
                <w:szCs w:val="21"/>
                <w:lang w:val="en-US" w:eastAsia="zh-CN" w:bidi="ar-SA"/>
              </w:rPr>
            </w:pPr>
            <w:r>
              <w:rPr>
                <w:rFonts w:hint="eastAsia" w:ascii="宋体" w:hAnsi="宋体"/>
                <w:color w:val="auto"/>
                <w:sz w:val="21"/>
                <w:szCs w:val="21"/>
                <w:lang w:val="en-US" w:eastAsia="zh-CN"/>
              </w:rPr>
              <w:t>5、</w:t>
            </w:r>
            <w:r>
              <w:rPr>
                <w:rFonts w:hint="eastAsia" w:ascii="宋体" w:hAnsi="宋体"/>
                <w:color w:val="auto"/>
                <w:sz w:val="21"/>
                <w:szCs w:val="21"/>
              </w:rPr>
              <w:t>标注“★”项的条款及要求“必须提供”的条款均为实质性要求，若有任意一项负偏离的，按否决投标处理。</w:t>
            </w:r>
          </w:p>
        </w:tc>
        <w:tc>
          <w:tcPr>
            <w:tcW w:w="2496" w:type="dxa"/>
            <w:shd w:val="clear" w:color="auto" w:fill="auto"/>
            <w:vAlign w:val="center"/>
          </w:tcPr>
          <w:p w14:paraId="1A220AA4">
            <w:pPr>
              <w:snapToGrid w:val="0"/>
              <w:spacing w:line="400" w:lineRule="exact"/>
              <w:jc w:val="center"/>
              <w:rPr>
                <w:rFonts w:ascii="宋体" w:hAnsi="宋体" w:cs="宋体"/>
                <w:b/>
                <w:color w:val="auto"/>
                <w:szCs w:val="21"/>
              </w:rPr>
            </w:pPr>
          </w:p>
        </w:tc>
        <w:tc>
          <w:tcPr>
            <w:tcW w:w="741" w:type="dxa"/>
            <w:shd w:val="clear" w:color="auto" w:fill="auto"/>
            <w:vAlign w:val="center"/>
          </w:tcPr>
          <w:p w14:paraId="26FEFF16">
            <w:pPr>
              <w:snapToGrid w:val="0"/>
              <w:spacing w:line="400" w:lineRule="exact"/>
              <w:jc w:val="center"/>
              <w:rPr>
                <w:rFonts w:ascii="宋体" w:hAnsi="宋体" w:cs="宋体"/>
                <w:b/>
                <w:color w:val="auto"/>
                <w:szCs w:val="21"/>
              </w:rPr>
            </w:pPr>
          </w:p>
        </w:tc>
      </w:tr>
      <w:tr w14:paraId="7B5D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125" w:type="dxa"/>
            <w:shd w:val="clear" w:color="auto" w:fill="auto"/>
            <w:vAlign w:val="center"/>
          </w:tcPr>
          <w:p w14:paraId="4768D47D">
            <w:pPr>
              <w:widowControl/>
              <w:spacing w:line="400" w:lineRule="exact"/>
              <w:jc w:val="left"/>
              <w:rPr>
                <w:rFonts w:ascii="宋体" w:hAnsi="宋体" w:eastAsia="宋体" w:cs="宋体"/>
                <w:color w:val="auto"/>
                <w:kern w:val="2"/>
                <w:sz w:val="21"/>
                <w:szCs w:val="21"/>
                <w:lang w:val="zh-CN" w:eastAsia="zh-CN" w:bidi="ar-SA"/>
              </w:rPr>
            </w:pPr>
            <w:r>
              <w:rPr>
                <w:rFonts w:hint="eastAsia" w:ascii="宋体" w:hAnsi="宋体"/>
                <w:color w:val="auto"/>
                <w:szCs w:val="21"/>
              </w:rPr>
              <w:t>施工要求</w:t>
            </w:r>
          </w:p>
        </w:tc>
        <w:tc>
          <w:tcPr>
            <w:tcW w:w="5640" w:type="dxa"/>
            <w:shd w:val="clear" w:color="auto" w:fill="auto"/>
            <w:vAlign w:val="center"/>
          </w:tcPr>
          <w:p w14:paraId="044B924A">
            <w:pPr>
              <w:widowControl/>
              <w:spacing w:line="400" w:lineRule="exact"/>
              <w:jc w:val="left"/>
              <w:rPr>
                <w:rFonts w:ascii="宋体" w:hAnsi="宋体"/>
                <w:color w:val="auto"/>
                <w:sz w:val="21"/>
                <w:szCs w:val="21"/>
              </w:rPr>
            </w:pPr>
            <w:r>
              <w:rPr>
                <w:rFonts w:hint="eastAsia" w:ascii="宋体" w:hAnsi="宋体"/>
                <w:color w:val="auto"/>
                <w:sz w:val="21"/>
                <w:szCs w:val="21"/>
              </w:rPr>
              <w:t>一、施工前准备：</w:t>
            </w:r>
          </w:p>
          <w:p w14:paraId="12F55DF3">
            <w:pPr>
              <w:widowControl/>
              <w:spacing w:line="400" w:lineRule="exact"/>
              <w:jc w:val="left"/>
              <w:rPr>
                <w:rFonts w:ascii="宋体" w:hAnsi="宋体"/>
                <w:color w:val="auto"/>
                <w:sz w:val="21"/>
                <w:szCs w:val="21"/>
              </w:rPr>
            </w:pPr>
            <w:r>
              <w:rPr>
                <w:rFonts w:hint="eastAsia" w:ascii="宋体" w:hAnsi="宋体"/>
                <w:color w:val="auto"/>
                <w:sz w:val="21"/>
                <w:szCs w:val="21"/>
              </w:rPr>
              <w:t>1、工程所用缆线和器材的品牌、型号、规格、数量、质量应在施工前进行检查，应符合设计要求并具备相应合格材料。如发现与设计不符者，不得在工程中使用。</w:t>
            </w:r>
          </w:p>
          <w:p w14:paraId="245E58FC">
            <w:pPr>
              <w:widowControl/>
              <w:spacing w:line="400" w:lineRule="exact"/>
              <w:jc w:val="left"/>
              <w:rPr>
                <w:rFonts w:ascii="宋体" w:hAnsi="宋体"/>
                <w:color w:val="auto"/>
                <w:sz w:val="21"/>
                <w:szCs w:val="21"/>
              </w:rPr>
            </w:pPr>
            <w:r>
              <w:rPr>
                <w:rFonts w:hint="eastAsia" w:ascii="宋体" w:hAnsi="宋体"/>
                <w:color w:val="auto"/>
                <w:sz w:val="21"/>
                <w:szCs w:val="21"/>
              </w:rPr>
              <w:t>2、经检验的器材应做好记录，对不合格的器件应单独存放，以备核查与处理。</w:t>
            </w:r>
          </w:p>
          <w:p w14:paraId="2206138D">
            <w:pPr>
              <w:widowControl/>
              <w:spacing w:line="400" w:lineRule="exact"/>
              <w:jc w:val="left"/>
              <w:rPr>
                <w:rFonts w:ascii="宋体" w:hAnsi="宋体"/>
                <w:color w:val="auto"/>
                <w:sz w:val="21"/>
                <w:szCs w:val="21"/>
              </w:rPr>
            </w:pPr>
            <w:r>
              <w:rPr>
                <w:rFonts w:hint="eastAsia" w:ascii="宋体" w:hAnsi="宋体"/>
                <w:color w:val="auto"/>
                <w:sz w:val="21"/>
                <w:szCs w:val="21"/>
              </w:rPr>
              <w:t>3、工程中使用的缆线、器材应与订货合同或封存的产品在规格、型号、等级上相符。</w:t>
            </w:r>
          </w:p>
          <w:p w14:paraId="7AEBB74F">
            <w:pPr>
              <w:widowControl/>
              <w:spacing w:line="400" w:lineRule="exact"/>
              <w:jc w:val="left"/>
              <w:rPr>
                <w:rFonts w:ascii="宋体" w:hAnsi="宋体"/>
                <w:color w:val="auto"/>
                <w:sz w:val="21"/>
                <w:szCs w:val="21"/>
              </w:rPr>
            </w:pPr>
            <w:r>
              <w:rPr>
                <w:rFonts w:hint="eastAsia" w:ascii="宋体" w:hAnsi="宋体"/>
                <w:color w:val="auto"/>
                <w:sz w:val="21"/>
                <w:szCs w:val="21"/>
              </w:rPr>
              <w:t>4、备品、备件及各类文件资料应齐全。</w:t>
            </w:r>
          </w:p>
          <w:p w14:paraId="26815046">
            <w:pPr>
              <w:widowControl/>
              <w:spacing w:line="400" w:lineRule="exact"/>
              <w:jc w:val="left"/>
              <w:rPr>
                <w:rFonts w:ascii="宋体" w:hAnsi="宋体"/>
                <w:color w:val="auto"/>
                <w:sz w:val="21"/>
                <w:szCs w:val="21"/>
              </w:rPr>
            </w:pPr>
            <w:r>
              <w:rPr>
                <w:rFonts w:hint="eastAsia" w:ascii="宋体" w:hAnsi="宋体"/>
                <w:color w:val="auto"/>
                <w:sz w:val="21"/>
                <w:szCs w:val="21"/>
              </w:rPr>
              <w:t>二、配套型材、管材与铁件的检查应符合下列要求：</w:t>
            </w:r>
          </w:p>
          <w:p w14:paraId="5B63D347">
            <w:pPr>
              <w:widowControl/>
              <w:spacing w:line="400" w:lineRule="exact"/>
              <w:jc w:val="left"/>
              <w:rPr>
                <w:rFonts w:ascii="宋体" w:hAnsi="宋体"/>
                <w:color w:val="auto"/>
                <w:sz w:val="21"/>
                <w:szCs w:val="21"/>
              </w:rPr>
            </w:pPr>
            <w:r>
              <w:rPr>
                <w:rFonts w:hint="eastAsia" w:ascii="宋体" w:hAnsi="宋体"/>
                <w:color w:val="auto"/>
                <w:sz w:val="21"/>
                <w:szCs w:val="21"/>
              </w:rPr>
              <w:t>1、各种型材的材质、规格、型号应符合设计文件的规定，表面应光滑、平整，不得变形、断裂。预埋金属线槽、过线盒、接线盒及桥架等表面涂覆或镀层应均匀、完整，不得变形、损坏。</w:t>
            </w:r>
          </w:p>
          <w:p w14:paraId="6E89BAE3">
            <w:pPr>
              <w:widowControl/>
              <w:spacing w:line="400" w:lineRule="exact"/>
              <w:jc w:val="left"/>
              <w:rPr>
                <w:rFonts w:ascii="宋体" w:hAnsi="宋体"/>
                <w:color w:val="auto"/>
                <w:sz w:val="21"/>
                <w:szCs w:val="21"/>
              </w:rPr>
            </w:pPr>
            <w:r>
              <w:rPr>
                <w:rFonts w:hint="eastAsia" w:ascii="宋体" w:hAnsi="宋体"/>
                <w:color w:val="auto"/>
                <w:sz w:val="21"/>
                <w:szCs w:val="21"/>
              </w:rPr>
              <w:t>2、室内管材采用金属管或塑料管时，其管身应光滑、无伤痕，管孔无变形，孔径、壁厚应符合设计要求。</w:t>
            </w:r>
          </w:p>
          <w:p w14:paraId="57E79DF0">
            <w:pPr>
              <w:widowControl/>
              <w:spacing w:line="400" w:lineRule="exact"/>
              <w:jc w:val="left"/>
              <w:rPr>
                <w:rFonts w:ascii="宋体" w:hAnsi="宋体"/>
                <w:color w:val="auto"/>
                <w:sz w:val="21"/>
                <w:szCs w:val="21"/>
              </w:rPr>
            </w:pPr>
            <w:r>
              <w:rPr>
                <w:rFonts w:hint="eastAsia" w:ascii="宋体" w:hAnsi="宋体"/>
                <w:color w:val="auto"/>
                <w:sz w:val="21"/>
                <w:szCs w:val="21"/>
              </w:rPr>
              <w:t>3、金属管槽应根据工程环境要求做镀锌或其他防腐处理。塑料管槽必须采用阻燃管槽，外壁应具有阻燃标记。</w:t>
            </w:r>
          </w:p>
          <w:p w14:paraId="10DFB393">
            <w:pPr>
              <w:widowControl/>
              <w:spacing w:line="400" w:lineRule="exact"/>
              <w:jc w:val="left"/>
              <w:rPr>
                <w:rFonts w:ascii="宋体" w:hAnsi="宋体"/>
                <w:color w:val="auto"/>
                <w:sz w:val="21"/>
                <w:szCs w:val="21"/>
              </w:rPr>
            </w:pPr>
            <w:r>
              <w:rPr>
                <w:rFonts w:hint="eastAsia" w:ascii="宋体" w:hAnsi="宋体"/>
                <w:color w:val="auto"/>
                <w:sz w:val="21"/>
                <w:szCs w:val="21"/>
              </w:rPr>
              <w:t>4、室外管道应按通信管道工程验收的相关规定进行检验。</w:t>
            </w:r>
          </w:p>
          <w:p w14:paraId="4DEFC751">
            <w:pPr>
              <w:widowControl/>
              <w:spacing w:line="400" w:lineRule="exact"/>
              <w:jc w:val="left"/>
              <w:rPr>
                <w:rFonts w:ascii="宋体" w:hAnsi="宋体"/>
                <w:color w:val="auto"/>
                <w:sz w:val="21"/>
                <w:szCs w:val="21"/>
              </w:rPr>
            </w:pPr>
            <w:r>
              <w:rPr>
                <w:rFonts w:hint="eastAsia" w:ascii="宋体" w:hAnsi="宋体"/>
                <w:color w:val="auto"/>
                <w:sz w:val="21"/>
                <w:szCs w:val="21"/>
              </w:rPr>
              <w:t>5、各种铁件的材质、规格均应符合相应质量标准，不得有歪斜、扭曲、飞刺、断裂或破损。</w:t>
            </w:r>
          </w:p>
          <w:p w14:paraId="6ECF66B2">
            <w:pPr>
              <w:widowControl/>
              <w:spacing w:line="400" w:lineRule="exact"/>
              <w:jc w:val="left"/>
              <w:rPr>
                <w:rFonts w:ascii="宋体" w:hAnsi="宋体"/>
                <w:color w:val="auto"/>
                <w:sz w:val="21"/>
                <w:szCs w:val="21"/>
              </w:rPr>
            </w:pPr>
            <w:r>
              <w:rPr>
                <w:rFonts w:hint="eastAsia" w:ascii="宋体" w:hAnsi="宋体"/>
                <w:color w:val="auto"/>
                <w:sz w:val="21"/>
                <w:szCs w:val="21"/>
              </w:rPr>
              <w:t>6、铁件的表面处理和镀层应均匀、完整，表面光洁，无脱落、气泡等缺陷。</w:t>
            </w:r>
          </w:p>
          <w:p w14:paraId="2AF20AA5">
            <w:pPr>
              <w:widowControl/>
              <w:spacing w:line="400" w:lineRule="exact"/>
              <w:jc w:val="left"/>
              <w:rPr>
                <w:rFonts w:ascii="宋体" w:hAnsi="宋体"/>
                <w:color w:val="auto"/>
                <w:sz w:val="21"/>
                <w:szCs w:val="21"/>
              </w:rPr>
            </w:pPr>
            <w:r>
              <w:rPr>
                <w:rFonts w:hint="eastAsia" w:ascii="宋体" w:hAnsi="宋体"/>
                <w:color w:val="auto"/>
                <w:sz w:val="21"/>
                <w:szCs w:val="21"/>
              </w:rPr>
              <w:t>三、缆线的检验应符合下列要求：</w:t>
            </w:r>
          </w:p>
          <w:p w14:paraId="6840EA9B">
            <w:pPr>
              <w:widowControl/>
              <w:spacing w:line="400" w:lineRule="exact"/>
              <w:jc w:val="left"/>
              <w:rPr>
                <w:rFonts w:ascii="宋体" w:hAnsi="宋体"/>
                <w:color w:val="auto"/>
                <w:sz w:val="21"/>
                <w:szCs w:val="21"/>
              </w:rPr>
            </w:pPr>
            <w:r>
              <w:rPr>
                <w:rFonts w:hint="eastAsia" w:ascii="宋体" w:hAnsi="宋体"/>
                <w:color w:val="auto"/>
                <w:sz w:val="21"/>
                <w:szCs w:val="21"/>
              </w:rPr>
              <w:t>1、工程使用的电缆和光缆型式、规格及缆线的防火等级应符合设计要求。</w:t>
            </w:r>
          </w:p>
          <w:p w14:paraId="525EAAEE">
            <w:pPr>
              <w:widowControl/>
              <w:spacing w:line="400" w:lineRule="exact"/>
              <w:jc w:val="left"/>
              <w:rPr>
                <w:rFonts w:ascii="宋体" w:hAnsi="宋体"/>
                <w:color w:val="auto"/>
                <w:sz w:val="21"/>
                <w:szCs w:val="21"/>
              </w:rPr>
            </w:pPr>
            <w:r>
              <w:rPr>
                <w:rFonts w:hint="eastAsia" w:ascii="宋体" w:hAnsi="宋体"/>
                <w:color w:val="auto"/>
                <w:sz w:val="21"/>
                <w:szCs w:val="21"/>
              </w:rPr>
              <w:t>2、缆线所附标志、标签内容应齐全、清晰，外包装应注明型号和规格。</w:t>
            </w:r>
          </w:p>
          <w:p w14:paraId="4B3C0997">
            <w:pPr>
              <w:widowControl/>
              <w:spacing w:line="400" w:lineRule="exact"/>
              <w:jc w:val="left"/>
              <w:rPr>
                <w:rFonts w:ascii="宋体" w:hAnsi="宋体"/>
                <w:color w:val="auto"/>
                <w:sz w:val="21"/>
                <w:szCs w:val="21"/>
              </w:rPr>
            </w:pPr>
            <w:r>
              <w:rPr>
                <w:rFonts w:hint="eastAsia" w:ascii="宋体" w:hAnsi="宋体"/>
                <w:color w:val="auto"/>
                <w:sz w:val="21"/>
                <w:szCs w:val="21"/>
              </w:rPr>
              <w:t>3、缆线外包装和外护套需完整无损，当外包装损坏严重时，应测试合格后再在工程中使用。</w:t>
            </w:r>
          </w:p>
          <w:p w14:paraId="7A7C9560">
            <w:pPr>
              <w:widowControl/>
              <w:spacing w:line="400" w:lineRule="exact"/>
              <w:jc w:val="left"/>
              <w:rPr>
                <w:rFonts w:ascii="宋体" w:hAnsi="宋体"/>
                <w:color w:val="auto"/>
                <w:sz w:val="21"/>
                <w:szCs w:val="21"/>
              </w:rPr>
            </w:pPr>
            <w:r>
              <w:rPr>
                <w:rFonts w:hint="eastAsia" w:ascii="宋体" w:hAnsi="宋体"/>
                <w:color w:val="auto"/>
                <w:sz w:val="21"/>
                <w:szCs w:val="21"/>
              </w:rPr>
              <w:t>4、电缆应附有本批量的电气性能检验报告，施工前应进行链路或信道的电气性能及缆线长度的抽验，并做测试记录。</w:t>
            </w:r>
          </w:p>
          <w:p w14:paraId="5A3E094B">
            <w:pPr>
              <w:widowControl/>
              <w:spacing w:line="400" w:lineRule="exact"/>
              <w:jc w:val="left"/>
              <w:rPr>
                <w:rFonts w:ascii="宋体" w:hAnsi="宋体"/>
                <w:color w:val="auto"/>
                <w:sz w:val="21"/>
                <w:szCs w:val="21"/>
              </w:rPr>
            </w:pPr>
            <w:r>
              <w:rPr>
                <w:rFonts w:hint="eastAsia" w:ascii="宋体" w:hAnsi="宋体"/>
                <w:color w:val="auto"/>
                <w:sz w:val="21"/>
                <w:szCs w:val="21"/>
              </w:rPr>
              <w:t>5、光缆开盘后应先检查光缆端头封装是否良好。光缆外包装或光缆护套如有损伤，应对该盘光缆进行光纤性能指标测试，如有断纤，应进行处理，待检查合格才允许使用。光纤检测完毕，光缆端头应密封固定，恢复外包装。</w:t>
            </w:r>
          </w:p>
          <w:p w14:paraId="3FE52A8F">
            <w:pPr>
              <w:widowControl/>
              <w:spacing w:line="400" w:lineRule="exact"/>
              <w:jc w:val="left"/>
              <w:rPr>
                <w:rFonts w:ascii="宋体" w:hAnsi="宋体"/>
                <w:color w:val="auto"/>
                <w:sz w:val="21"/>
                <w:szCs w:val="21"/>
              </w:rPr>
            </w:pPr>
            <w:r>
              <w:rPr>
                <w:rFonts w:hint="eastAsia" w:ascii="宋体" w:hAnsi="宋体"/>
                <w:color w:val="auto"/>
                <w:sz w:val="21"/>
                <w:szCs w:val="21"/>
              </w:rPr>
              <w:t>6、光纤接插软线或光跳线检验应符合下列规定：</w:t>
            </w:r>
          </w:p>
          <w:p w14:paraId="269F25CC">
            <w:pPr>
              <w:widowControl/>
              <w:spacing w:line="400" w:lineRule="exact"/>
              <w:jc w:val="left"/>
              <w:rPr>
                <w:rFonts w:ascii="宋体" w:hAnsi="宋体"/>
                <w:color w:val="auto"/>
                <w:sz w:val="21"/>
                <w:szCs w:val="21"/>
              </w:rPr>
            </w:pPr>
            <w:r>
              <w:rPr>
                <w:rFonts w:hint="eastAsia" w:ascii="宋体" w:hAnsi="宋体"/>
                <w:color w:val="auto"/>
                <w:sz w:val="21"/>
                <w:szCs w:val="21"/>
              </w:rPr>
              <w:t>(1)两端的光纤连接器件端面应装配合适的保护盖帽。</w:t>
            </w:r>
          </w:p>
          <w:p w14:paraId="64739609">
            <w:pPr>
              <w:widowControl/>
              <w:spacing w:line="400" w:lineRule="exact"/>
              <w:jc w:val="left"/>
              <w:rPr>
                <w:rFonts w:ascii="宋体" w:hAnsi="宋体"/>
                <w:color w:val="auto"/>
                <w:sz w:val="21"/>
                <w:szCs w:val="21"/>
              </w:rPr>
            </w:pPr>
            <w:r>
              <w:rPr>
                <w:rFonts w:hint="eastAsia" w:ascii="宋体" w:hAnsi="宋体"/>
                <w:color w:val="auto"/>
                <w:sz w:val="21"/>
                <w:szCs w:val="21"/>
              </w:rPr>
              <w:t>(2)光纤类型应符合设计要求，并应有明显的标记。</w:t>
            </w:r>
          </w:p>
          <w:p w14:paraId="37E8E47B">
            <w:pPr>
              <w:widowControl/>
              <w:spacing w:line="400" w:lineRule="exact"/>
              <w:jc w:val="left"/>
              <w:rPr>
                <w:rFonts w:ascii="宋体" w:hAnsi="宋体"/>
                <w:color w:val="auto"/>
                <w:sz w:val="21"/>
                <w:szCs w:val="21"/>
              </w:rPr>
            </w:pPr>
            <w:r>
              <w:rPr>
                <w:rFonts w:hint="eastAsia" w:ascii="宋体" w:hAnsi="宋体"/>
                <w:color w:val="auto"/>
                <w:sz w:val="21"/>
                <w:szCs w:val="21"/>
              </w:rPr>
              <w:t>四、连接器件的检验应符合下列要求：</w:t>
            </w:r>
          </w:p>
          <w:p w14:paraId="55438B8A">
            <w:pPr>
              <w:widowControl/>
              <w:spacing w:line="400" w:lineRule="exact"/>
              <w:jc w:val="left"/>
              <w:rPr>
                <w:rFonts w:ascii="宋体" w:hAnsi="宋体"/>
                <w:color w:val="auto"/>
                <w:sz w:val="21"/>
                <w:szCs w:val="21"/>
              </w:rPr>
            </w:pPr>
            <w:r>
              <w:rPr>
                <w:rFonts w:hint="eastAsia" w:ascii="宋体" w:hAnsi="宋体"/>
                <w:color w:val="auto"/>
                <w:sz w:val="21"/>
                <w:szCs w:val="21"/>
              </w:rPr>
              <w:t>1、配线模块、信息插座模块及其他连接器件的部件应完整，电气和机械性能等指标符合相应产品生产的质量标准。塑料材质应具有阻燃性能，并应满足设计要求。</w:t>
            </w:r>
          </w:p>
          <w:p w14:paraId="69FA1945">
            <w:pPr>
              <w:widowControl/>
              <w:spacing w:line="400" w:lineRule="exact"/>
              <w:jc w:val="left"/>
              <w:rPr>
                <w:rFonts w:ascii="宋体" w:hAnsi="宋体"/>
                <w:color w:val="auto"/>
                <w:sz w:val="21"/>
                <w:szCs w:val="21"/>
              </w:rPr>
            </w:pPr>
            <w:r>
              <w:rPr>
                <w:rFonts w:hint="eastAsia" w:ascii="宋体" w:hAnsi="宋体"/>
                <w:color w:val="auto"/>
                <w:sz w:val="21"/>
                <w:szCs w:val="21"/>
              </w:rPr>
              <w:t>2、信号线路浪涌保护器各项指标应符合有关规定。</w:t>
            </w:r>
          </w:p>
          <w:p w14:paraId="370A31F5">
            <w:pPr>
              <w:widowControl/>
              <w:spacing w:line="400" w:lineRule="exact"/>
              <w:jc w:val="left"/>
              <w:rPr>
                <w:rFonts w:ascii="宋体" w:hAnsi="宋体"/>
                <w:color w:val="auto"/>
                <w:sz w:val="21"/>
                <w:szCs w:val="21"/>
              </w:rPr>
            </w:pPr>
            <w:r>
              <w:rPr>
                <w:rFonts w:hint="eastAsia" w:ascii="宋体" w:hAnsi="宋体"/>
                <w:color w:val="auto"/>
                <w:sz w:val="21"/>
                <w:szCs w:val="21"/>
              </w:rPr>
              <w:t>3、光纤连接器件及适配器使用型式和数量、位置应与设计相符。</w:t>
            </w:r>
          </w:p>
          <w:p w14:paraId="4BE53254">
            <w:pPr>
              <w:widowControl/>
              <w:spacing w:line="400" w:lineRule="exact"/>
              <w:jc w:val="left"/>
              <w:rPr>
                <w:rFonts w:ascii="宋体" w:hAnsi="宋体"/>
                <w:color w:val="auto"/>
                <w:sz w:val="21"/>
                <w:szCs w:val="21"/>
              </w:rPr>
            </w:pPr>
            <w:r>
              <w:rPr>
                <w:rFonts w:hint="eastAsia" w:ascii="宋体" w:hAnsi="宋体"/>
                <w:color w:val="auto"/>
                <w:sz w:val="21"/>
                <w:szCs w:val="21"/>
              </w:rPr>
              <w:t>五、配线设备的使用应符合下列规定：</w:t>
            </w:r>
          </w:p>
          <w:p w14:paraId="6C4765AE">
            <w:pPr>
              <w:widowControl/>
              <w:spacing w:line="400" w:lineRule="exact"/>
              <w:jc w:val="left"/>
              <w:rPr>
                <w:rFonts w:ascii="宋体" w:hAnsi="宋体"/>
                <w:color w:val="auto"/>
                <w:sz w:val="21"/>
                <w:szCs w:val="21"/>
              </w:rPr>
            </w:pPr>
            <w:r>
              <w:rPr>
                <w:rFonts w:hint="eastAsia" w:ascii="宋体" w:hAnsi="宋体"/>
                <w:color w:val="auto"/>
                <w:sz w:val="21"/>
                <w:szCs w:val="21"/>
              </w:rPr>
              <w:t>1、光、电缆配线设备的型式、规格应符合设计要求。</w:t>
            </w:r>
          </w:p>
          <w:p w14:paraId="1753796B">
            <w:pPr>
              <w:widowControl/>
              <w:spacing w:line="400" w:lineRule="exact"/>
              <w:jc w:val="left"/>
              <w:rPr>
                <w:rFonts w:ascii="宋体" w:hAnsi="宋体"/>
                <w:color w:val="auto"/>
                <w:sz w:val="21"/>
                <w:szCs w:val="21"/>
              </w:rPr>
            </w:pPr>
            <w:r>
              <w:rPr>
                <w:rFonts w:hint="eastAsia" w:ascii="宋体" w:hAnsi="宋体"/>
                <w:color w:val="auto"/>
                <w:sz w:val="21"/>
                <w:szCs w:val="21"/>
              </w:rPr>
              <w:t>2、光、电缆配线设备的编排及标志名称应与设计相符。各类标志名称应统一，标志位置正确、清晰。</w:t>
            </w:r>
          </w:p>
          <w:p w14:paraId="5BE2F25C">
            <w:pPr>
              <w:widowControl/>
              <w:spacing w:line="400" w:lineRule="exact"/>
              <w:jc w:val="left"/>
              <w:rPr>
                <w:rFonts w:ascii="宋体" w:hAnsi="宋体"/>
                <w:color w:val="auto"/>
                <w:sz w:val="21"/>
                <w:szCs w:val="21"/>
              </w:rPr>
            </w:pPr>
            <w:r>
              <w:rPr>
                <w:rFonts w:hint="eastAsia" w:ascii="宋体" w:hAnsi="宋体"/>
                <w:color w:val="auto"/>
                <w:sz w:val="21"/>
                <w:szCs w:val="21"/>
              </w:rPr>
              <w:t>六、测试仪表和工具的检验应符合下列要求：</w:t>
            </w:r>
          </w:p>
          <w:p w14:paraId="745DC84B">
            <w:pPr>
              <w:widowControl/>
              <w:spacing w:line="400" w:lineRule="exact"/>
              <w:jc w:val="left"/>
              <w:rPr>
                <w:rFonts w:ascii="宋体" w:hAnsi="宋体"/>
                <w:color w:val="auto"/>
                <w:sz w:val="21"/>
                <w:szCs w:val="21"/>
              </w:rPr>
            </w:pPr>
            <w:r>
              <w:rPr>
                <w:rFonts w:hint="eastAsia" w:ascii="宋体" w:hAnsi="宋体"/>
                <w:color w:val="auto"/>
                <w:sz w:val="21"/>
                <w:szCs w:val="21"/>
              </w:rPr>
              <w:t>1、应事先对工程中需要使用的仪表和工具进行测试或检查，缆线测试仪表应附有相应检测机构的证明文件。</w:t>
            </w:r>
          </w:p>
          <w:p w14:paraId="6DCDCACB">
            <w:pPr>
              <w:widowControl/>
              <w:spacing w:line="400" w:lineRule="exact"/>
              <w:jc w:val="left"/>
              <w:rPr>
                <w:rFonts w:ascii="宋体" w:hAnsi="宋体"/>
                <w:color w:val="auto"/>
                <w:sz w:val="21"/>
                <w:szCs w:val="21"/>
              </w:rPr>
            </w:pPr>
            <w:r>
              <w:rPr>
                <w:rFonts w:hint="eastAsia" w:ascii="宋体" w:hAnsi="宋体"/>
                <w:color w:val="auto"/>
                <w:sz w:val="21"/>
                <w:szCs w:val="21"/>
              </w:rPr>
              <w:t>2、综合布线系统的测试仪表应能测试相应类别工程的各种电气性能及传输特性，其精度符合相应要求。测试仪表的精度应按相应的鉴定规程和校准方法进行定期检查和校准，经过相应计量部门校验取得合格证后，方可在有效期内使用。</w:t>
            </w:r>
          </w:p>
          <w:p w14:paraId="7803080B">
            <w:pPr>
              <w:widowControl/>
              <w:spacing w:line="400" w:lineRule="exact"/>
              <w:jc w:val="left"/>
              <w:rPr>
                <w:rFonts w:ascii="宋体" w:hAnsi="宋体"/>
                <w:color w:val="auto"/>
                <w:sz w:val="21"/>
                <w:szCs w:val="21"/>
              </w:rPr>
            </w:pPr>
            <w:r>
              <w:rPr>
                <w:rFonts w:hint="eastAsia" w:ascii="宋体" w:hAnsi="宋体"/>
                <w:color w:val="auto"/>
                <w:sz w:val="21"/>
                <w:szCs w:val="21"/>
              </w:rPr>
              <w:t>3、施工工具，如电缆或光缆的接续工具：剥线器、光缆切断器、光纤熔接机、光纤磨光机、卡接工具等必须进行检查，合格后方可在工程中使用。</w:t>
            </w:r>
          </w:p>
          <w:p w14:paraId="7975229B">
            <w:pPr>
              <w:widowControl/>
              <w:spacing w:line="400" w:lineRule="exact"/>
              <w:jc w:val="left"/>
              <w:rPr>
                <w:rFonts w:ascii="宋体" w:hAnsi="宋体"/>
                <w:color w:val="auto"/>
                <w:sz w:val="21"/>
                <w:szCs w:val="21"/>
              </w:rPr>
            </w:pPr>
            <w:r>
              <w:rPr>
                <w:rFonts w:hint="eastAsia" w:ascii="宋体" w:hAnsi="宋体"/>
                <w:color w:val="auto"/>
                <w:sz w:val="21"/>
                <w:szCs w:val="21"/>
              </w:rPr>
              <w:t>七、工程实施质量要求和验收标准</w:t>
            </w:r>
          </w:p>
          <w:p w14:paraId="2ABFC55E">
            <w:pPr>
              <w:widowControl/>
              <w:spacing w:line="400" w:lineRule="exact"/>
              <w:jc w:val="left"/>
              <w:rPr>
                <w:rFonts w:ascii="宋体" w:hAnsi="宋体"/>
                <w:color w:val="auto"/>
                <w:sz w:val="21"/>
                <w:szCs w:val="21"/>
              </w:rPr>
            </w:pPr>
            <w:r>
              <w:rPr>
                <w:rFonts w:hint="eastAsia" w:ascii="宋体" w:hAnsi="宋体"/>
                <w:color w:val="auto"/>
                <w:sz w:val="21"/>
                <w:szCs w:val="21"/>
              </w:rPr>
              <w:t>1、PVC线槽安装质量要求：</w:t>
            </w:r>
          </w:p>
          <w:p w14:paraId="780385C7">
            <w:pPr>
              <w:widowControl/>
              <w:spacing w:line="400" w:lineRule="exact"/>
              <w:jc w:val="left"/>
              <w:rPr>
                <w:rFonts w:ascii="宋体" w:hAnsi="宋体"/>
                <w:color w:val="auto"/>
                <w:sz w:val="21"/>
                <w:szCs w:val="21"/>
              </w:rPr>
            </w:pPr>
            <w:r>
              <w:rPr>
                <w:rFonts w:hint="eastAsia" w:ascii="宋体" w:hAnsi="宋体"/>
                <w:color w:val="auto"/>
                <w:sz w:val="21"/>
                <w:szCs w:val="21"/>
              </w:rPr>
              <w:t>（1）安装位置应符合施工规定。</w:t>
            </w:r>
          </w:p>
          <w:p w14:paraId="6F0848BD">
            <w:pPr>
              <w:widowControl/>
              <w:spacing w:line="400" w:lineRule="exact"/>
              <w:jc w:val="left"/>
              <w:rPr>
                <w:rFonts w:ascii="宋体" w:hAnsi="宋体"/>
                <w:color w:val="auto"/>
                <w:sz w:val="21"/>
                <w:szCs w:val="21"/>
              </w:rPr>
            </w:pPr>
            <w:r>
              <w:rPr>
                <w:rFonts w:hint="eastAsia" w:ascii="宋体" w:hAnsi="宋体"/>
                <w:color w:val="auto"/>
                <w:sz w:val="21"/>
                <w:szCs w:val="21"/>
              </w:rPr>
              <w:t>（2）线槽截断处应平滑、无毛刺。</w:t>
            </w:r>
          </w:p>
          <w:p w14:paraId="36881007">
            <w:pPr>
              <w:widowControl/>
              <w:spacing w:line="400" w:lineRule="exact"/>
              <w:jc w:val="left"/>
              <w:rPr>
                <w:rFonts w:ascii="宋体" w:hAnsi="宋体"/>
                <w:color w:val="auto"/>
                <w:sz w:val="21"/>
                <w:szCs w:val="21"/>
              </w:rPr>
            </w:pPr>
            <w:r>
              <w:rPr>
                <w:rFonts w:hint="eastAsia" w:ascii="宋体" w:hAnsi="宋体"/>
                <w:color w:val="auto"/>
                <w:sz w:val="21"/>
                <w:szCs w:val="21"/>
              </w:rPr>
              <w:t>（3）线槽连接紧密，固定应牢靠，横平竖直无倾斜。</w:t>
            </w:r>
          </w:p>
          <w:p w14:paraId="5063D453">
            <w:pPr>
              <w:widowControl/>
              <w:spacing w:line="400" w:lineRule="exact"/>
              <w:jc w:val="left"/>
              <w:rPr>
                <w:rFonts w:ascii="宋体" w:hAnsi="宋体"/>
                <w:color w:val="auto"/>
                <w:sz w:val="21"/>
                <w:szCs w:val="21"/>
              </w:rPr>
            </w:pPr>
            <w:r>
              <w:rPr>
                <w:rFonts w:hint="eastAsia" w:ascii="宋体" w:hAnsi="宋体"/>
                <w:color w:val="auto"/>
                <w:sz w:val="21"/>
                <w:szCs w:val="21"/>
              </w:rPr>
              <w:t>（4）线槽固定点间距小于1M.。</w:t>
            </w:r>
          </w:p>
          <w:p w14:paraId="1691C121">
            <w:pPr>
              <w:widowControl/>
              <w:spacing w:line="400" w:lineRule="exact"/>
              <w:jc w:val="left"/>
              <w:rPr>
                <w:rFonts w:ascii="宋体" w:hAnsi="宋体"/>
                <w:color w:val="auto"/>
                <w:sz w:val="21"/>
                <w:szCs w:val="21"/>
              </w:rPr>
            </w:pPr>
            <w:r>
              <w:rPr>
                <w:rFonts w:hint="eastAsia" w:ascii="宋体" w:hAnsi="宋体"/>
                <w:color w:val="auto"/>
                <w:sz w:val="21"/>
                <w:szCs w:val="21"/>
              </w:rPr>
              <w:t>（5）线槽盖装后应平整，无露线，表面无明显污迹。</w:t>
            </w:r>
          </w:p>
          <w:p w14:paraId="5B65EF70">
            <w:pPr>
              <w:widowControl/>
              <w:spacing w:line="400" w:lineRule="exact"/>
              <w:jc w:val="left"/>
              <w:rPr>
                <w:rFonts w:ascii="宋体" w:hAnsi="宋体"/>
                <w:color w:val="auto"/>
                <w:sz w:val="21"/>
                <w:szCs w:val="21"/>
              </w:rPr>
            </w:pPr>
            <w:r>
              <w:rPr>
                <w:rFonts w:hint="eastAsia" w:ascii="宋体" w:hAnsi="宋体"/>
                <w:color w:val="auto"/>
                <w:sz w:val="21"/>
                <w:szCs w:val="21"/>
              </w:rPr>
              <w:t>2、金属管、PVC管安装质量要求：</w:t>
            </w:r>
          </w:p>
          <w:p w14:paraId="15D5BC5F">
            <w:pPr>
              <w:widowControl/>
              <w:spacing w:line="400" w:lineRule="exact"/>
              <w:jc w:val="left"/>
              <w:rPr>
                <w:rFonts w:ascii="宋体" w:hAnsi="宋体"/>
                <w:color w:val="auto"/>
                <w:sz w:val="21"/>
                <w:szCs w:val="21"/>
              </w:rPr>
            </w:pPr>
            <w:r>
              <w:rPr>
                <w:rFonts w:hint="eastAsia" w:ascii="宋体" w:hAnsi="宋体"/>
                <w:color w:val="auto"/>
                <w:sz w:val="21"/>
                <w:szCs w:val="21"/>
              </w:rPr>
              <w:t>明敷</w:t>
            </w:r>
          </w:p>
          <w:p w14:paraId="7EDC27D3">
            <w:pPr>
              <w:widowControl/>
              <w:spacing w:line="400" w:lineRule="exact"/>
              <w:jc w:val="left"/>
              <w:rPr>
                <w:rFonts w:ascii="宋体" w:hAnsi="宋体"/>
                <w:color w:val="auto"/>
                <w:sz w:val="21"/>
                <w:szCs w:val="21"/>
              </w:rPr>
            </w:pPr>
            <w:r>
              <w:rPr>
                <w:rFonts w:hint="eastAsia" w:ascii="宋体" w:hAnsi="宋体"/>
                <w:color w:val="auto"/>
                <w:sz w:val="21"/>
                <w:szCs w:val="21"/>
              </w:rPr>
              <w:t>（1）安装位置应符合施工规定。</w:t>
            </w:r>
          </w:p>
          <w:p w14:paraId="75876B17">
            <w:pPr>
              <w:widowControl/>
              <w:spacing w:line="400" w:lineRule="exact"/>
              <w:jc w:val="left"/>
              <w:rPr>
                <w:rFonts w:ascii="宋体" w:hAnsi="宋体"/>
                <w:color w:val="auto"/>
                <w:sz w:val="21"/>
                <w:szCs w:val="21"/>
              </w:rPr>
            </w:pPr>
            <w:r>
              <w:rPr>
                <w:rFonts w:hint="eastAsia" w:ascii="宋体" w:hAnsi="宋体"/>
                <w:color w:val="auto"/>
                <w:sz w:val="21"/>
                <w:szCs w:val="21"/>
              </w:rPr>
              <w:t>（2）管材间连接紧密，衔接处应加连接件（直通、三通、弯头）</w:t>
            </w:r>
          </w:p>
          <w:p w14:paraId="544E827D">
            <w:pPr>
              <w:widowControl/>
              <w:spacing w:line="400" w:lineRule="exact"/>
              <w:jc w:val="left"/>
              <w:rPr>
                <w:rFonts w:ascii="宋体" w:hAnsi="宋体"/>
                <w:color w:val="auto"/>
                <w:sz w:val="21"/>
                <w:szCs w:val="21"/>
              </w:rPr>
            </w:pPr>
            <w:r>
              <w:rPr>
                <w:rFonts w:hint="eastAsia" w:ascii="宋体" w:hAnsi="宋体"/>
                <w:color w:val="auto"/>
                <w:sz w:val="21"/>
                <w:szCs w:val="21"/>
              </w:rPr>
              <w:t>（3）管材布放应横平竖直无倾斜，固定应牢靠。</w:t>
            </w:r>
          </w:p>
          <w:p w14:paraId="52E73BA1">
            <w:pPr>
              <w:widowControl/>
              <w:spacing w:line="400" w:lineRule="exact"/>
              <w:jc w:val="left"/>
              <w:rPr>
                <w:rFonts w:ascii="宋体" w:hAnsi="宋体"/>
                <w:color w:val="auto"/>
                <w:sz w:val="21"/>
                <w:szCs w:val="21"/>
              </w:rPr>
            </w:pPr>
            <w:r>
              <w:rPr>
                <w:rFonts w:hint="eastAsia" w:ascii="宋体" w:hAnsi="宋体"/>
                <w:color w:val="auto"/>
                <w:sz w:val="21"/>
                <w:szCs w:val="21"/>
              </w:rPr>
              <w:t>（4）PVC管沿墙明敷应用管卡固定，固定间距均匀并符合下表要求。</w:t>
            </w:r>
          </w:p>
          <w:tbl>
            <w:tblPr>
              <w:tblStyle w:val="15"/>
              <w:tblpPr w:leftFromText="180" w:rightFromText="180" w:vertAnchor="text" w:horzAnchor="page" w:tblpX="114" w:tblpY="3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42"/>
              <w:gridCol w:w="704"/>
              <w:gridCol w:w="561"/>
              <w:gridCol w:w="483"/>
              <w:gridCol w:w="586"/>
              <w:gridCol w:w="700"/>
            </w:tblGrid>
            <w:tr w14:paraId="4116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50" w:type="pct"/>
                  <w:vMerge w:val="restart"/>
                </w:tcPr>
                <w:p w14:paraId="51C44453">
                  <w:pPr>
                    <w:spacing w:line="400" w:lineRule="exact"/>
                    <w:jc w:val="center"/>
                    <w:rPr>
                      <w:rFonts w:ascii="宋体" w:hAnsi="宋体"/>
                      <w:color w:val="auto"/>
                      <w:sz w:val="21"/>
                      <w:szCs w:val="21"/>
                    </w:rPr>
                  </w:pPr>
                </w:p>
                <w:p w14:paraId="098CE017">
                  <w:pPr>
                    <w:spacing w:line="400" w:lineRule="exact"/>
                    <w:jc w:val="center"/>
                    <w:rPr>
                      <w:rFonts w:ascii="宋体" w:hAnsi="宋体"/>
                      <w:color w:val="auto"/>
                      <w:sz w:val="21"/>
                      <w:szCs w:val="21"/>
                    </w:rPr>
                  </w:pPr>
                  <w:r>
                    <w:rPr>
                      <w:rFonts w:hint="eastAsia" w:ascii="宋体" w:hAnsi="宋体"/>
                      <w:color w:val="auto"/>
                      <w:sz w:val="21"/>
                      <w:szCs w:val="21"/>
                    </w:rPr>
                    <w:t>敷设方式</w:t>
                  </w:r>
                </w:p>
              </w:tc>
              <w:tc>
                <w:tcPr>
                  <w:tcW w:w="1147" w:type="pct"/>
                  <w:vMerge w:val="restart"/>
                </w:tcPr>
                <w:p w14:paraId="1154AA83">
                  <w:pPr>
                    <w:spacing w:line="400" w:lineRule="exact"/>
                    <w:ind w:firstLine="105" w:firstLineChars="50"/>
                    <w:rPr>
                      <w:rFonts w:ascii="宋体" w:hAnsi="宋体"/>
                      <w:color w:val="auto"/>
                      <w:sz w:val="21"/>
                      <w:szCs w:val="21"/>
                    </w:rPr>
                  </w:pPr>
                </w:p>
                <w:p w14:paraId="50CC020F">
                  <w:pPr>
                    <w:spacing w:line="400" w:lineRule="exact"/>
                    <w:ind w:firstLine="105" w:firstLineChars="50"/>
                    <w:rPr>
                      <w:rFonts w:ascii="宋体" w:hAnsi="宋体"/>
                      <w:color w:val="auto"/>
                      <w:sz w:val="21"/>
                      <w:szCs w:val="21"/>
                    </w:rPr>
                  </w:pPr>
                  <w:r>
                    <w:rPr>
                      <w:rFonts w:hint="eastAsia" w:ascii="宋体" w:hAnsi="宋体"/>
                      <w:color w:val="auto"/>
                      <w:sz w:val="21"/>
                      <w:szCs w:val="21"/>
                    </w:rPr>
                    <w:t>导管种类</w:t>
                  </w:r>
                </w:p>
              </w:tc>
              <w:tc>
                <w:tcPr>
                  <w:tcW w:w="2802" w:type="pct"/>
                  <w:gridSpan w:val="5"/>
                </w:tcPr>
                <w:p w14:paraId="4EB9AFC0">
                  <w:pPr>
                    <w:spacing w:line="400" w:lineRule="exact"/>
                    <w:ind w:firstLine="1890" w:firstLineChars="900"/>
                    <w:rPr>
                      <w:rFonts w:ascii="宋体" w:hAnsi="宋体"/>
                      <w:color w:val="auto"/>
                      <w:sz w:val="21"/>
                      <w:szCs w:val="21"/>
                    </w:rPr>
                  </w:pPr>
                  <w:r>
                    <w:rPr>
                      <w:rFonts w:hint="eastAsia" w:ascii="宋体" w:hAnsi="宋体"/>
                      <w:color w:val="auto"/>
                      <w:sz w:val="21"/>
                      <w:szCs w:val="21"/>
                    </w:rPr>
                    <w:t>导管直径(MM)</w:t>
                  </w:r>
                </w:p>
              </w:tc>
            </w:tr>
            <w:tr w14:paraId="6359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50" w:type="pct"/>
                  <w:vMerge w:val="continue"/>
                </w:tcPr>
                <w:p w14:paraId="557D6CC1">
                  <w:pPr>
                    <w:spacing w:line="400" w:lineRule="exact"/>
                    <w:rPr>
                      <w:rFonts w:ascii="宋体" w:hAnsi="宋体"/>
                      <w:color w:val="auto"/>
                      <w:sz w:val="21"/>
                      <w:szCs w:val="21"/>
                    </w:rPr>
                  </w:pPr>
                </w:p>
              </w:tc>
              <w:tc>
                <w:tcPr>
                  <w:tcW w:w="1147" w:type="pct"/>
                  <w:vMerge w:val="continue"/>
                </w:tcPr>
                <w:p w14:paraId="2044028D">
                  <w:pPr>
                    <w:spacing w:line="400" w:lineRule="exact"/>
                    <w:rPr>
                      <w:rFonts w:ascii="宋体" w:hAnsi="宋体"/>
                      <w:color w:val="auto"/>
                      <w:sz w:val="21"/>
                      <w:szCs w:val="21"/>
                    </w:rPr>
                  </w:pPr>
                </w:p>
              </w:tc>
              <w:tc>
                <w:tcPr>
                  <w:tcW w:w="650" w:type="pct"/>
                </w:tcPr>
                <w:p w14:paraId="0FF43AE4">
                  <w:pPr>
                    <w:spacing w:line="400" w:lineRule="exact"/>
                    <w:rPr>
                      <w:rFonts w:ascii="宋体" w:hAnsi="宋体"/>
                      <w:color w:val="auto"/>
                      <w:sz w:val="21"/>
                      <w:szCs w:val="21"/>
                    </w:rPr>
                  </w:pPr>
                  <w:r>
                    <w:rPr>
                      <w:rFonts w:hint="eastAsia" w:ascii="宋体" w:hAnsi="宋体"/>
                      <w:color w:val="auto"/>
                      <w:sz w:val="21"/>
                      <w:szCs w:val="21"/>
                    </w:rPr>
                    <w:t>15~20</w:t>
                  </w:r>
                </w:p>
              </w:tc>
              <w:tc>
                <w:tcPr>
                  <w:tcW w:w="518" w:type="pct"/>
                </w:tcPr>
                <w:p w14:paraId="0B2A0FDD">
                  <w:pPr>
                    <w:spacing w:line="400" w:lineRule="exact"/>
                    <w:rPr>
                      <w:rFonts w:ascii="宋体" w:hAnsi="宋体"/>
                      <w:color w:val="auto"/>
                      <w:sz w:val="21"/>
                      <w:szCs w:val="21"/>
                    </w:rPr>
                  </w:pPr>
                  <w:r>
                    <w:rPr>
                      <w:rFonts w:hint="eastAsia" w:ascii="宋体" w:hAnsi="宋体"/>
                      <w:color w:val="auto"/>
                      <w:sz w:val="21"/>
                      <w:szCs w:val="21"/>
                    </w:rPr>
                    <w:t>25~32</w:t>
                  </w:r>
                </w:p>
              </w:tc>
              <w:tc>
                <w:tcPr>
                  <w:tcW w:w="446" w:type="pct"/>
                </w:tcPr>
                <w:p w14:paraId="7B0B4BD7">
                  <w:pPr>
                    <w:spacing w:line="400" w:lineRule="exact"/>
                    <w:rPr>
                      <w:rFonts w:ascii="宋体" w:hAnsi="宋体"/>
                      <w:color w:val="auto"/>
                      <w:sz w:val="21"/>
                      <w:szCs w:val="21"/>
                    </w:rPr>
                  </w:pPr>
                  <w:r>
                    <w:rPr>
                      <w:rFonts w:hint="eastAsia" w:ascii="宋体" w:hAnsi="宋体"/>
                      <w:color w:val="auto"/>
                      <w:sz w:val="21"/>
                      <w:szCs w:val="21"/>
                    </w:rPr>
                    <w:t>32~40</w:t>
                  </w:r>
                </w:p>
              </w:tc>
              <w:tc>
                <w:tcPr>
                  <w:tcW w:w="541" w:type="pct"/>
                </w:tcPr>
                <w:p w14:paraId="644846C6">
                  <w:pPr>
                    <w:spacing w:line="400" w:lineRule="exact"/>
                    <w:rPr>
                      <w:rFonts w:ascii="宋体" w:hAnsi="宋体"/>
                      <w:color w:val="auto"/>
                      <w:sz w:val="21"/>
                      <w:szCs w:val="21"/>
                    </w:rPr>
                  </w:pPr>
                  <w:r>
                    <w:rPr>
                      <w:rFonts w:hint="eastAsia" w:ascii="宋体" w:hAnsi="宋体"/>
                      <w:color w:val="auto"/>
                      <w:sz w:val="21"/>
                      <w:szCs w:val="21"/>
                    </w:rPr>
                    <w:t>50~65</w:t>
                  </w:r>
                </w:p>
              </w:tc>
              <w:tc>
                <w:tcPr>
                  <w:tcW w:w="646" w:type="pct"/>
                </w:tcPr>
                <w:p w14:paraId="4639A0BA">
                  <w:pPr>
                    <w:spacing w:line="400" w:lineRule="exact"/>
                    <w:rPr>
                      <w:rFonts w:ascii="宋体" w:hAnsi="宋体"/>
                      <w:color w:val="auto"/>
                      <w:sz w:val="21"/>
                      <w:szCs w:val="21"/>
                    </w:rPr>
                  </w:pPr>
                  <w:r>
                    <w:rPr>
                      <w:rFonts w:hint="eastAsia" w:ascii="宋体" w:hAnsi="宋体"/>
                      <w:color w:val="auto"/>
                      <w:sz w:val="21"/>
                      <w:szCs w:val="21"/>
                    </w:rPr>
                    <w:t>65以上</w:t>
                  </w:r>
                </w:p>
              </w:tc>
            </w:tr>
            <w:tr w14:paraId="0277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0" w:type="pct"/>
                  <w:vMerge w:val="continue"/>
                </w:tcPr>
                <w:p w14:paraId="186200C8">
                  <w:pPr>
                    <w:spacing w:line="400" w:lineRule="exact"/>
                    <w:rPr>
                      <w:rFonts w:ascii="宋体" w:hAnsi="宋体"/>
                      <w:color w:val="auto"/>
                      <w:sz w:val="21"/>
                      <w:szCs w:val="21"/>
                    </w:rPr>
                  </w:pPr>
                </w:p>
              </w:tc>
              <w:tc>
                <w:tcPr>
                  <w:tcW w:w="1147" w:type="pct"/>
                  <w:vMerge w:val="continue"/>
                </w:tcPr>
                <w:p w14:paraId="35075003">
                  <w:pPr>
                    <w:spacing w:line="400" w:lineRule="exact"/>
                    <w:rPr>
                      <w:rFonts w:ascii="宋体" w:hAnsi="宋体"/>
                      <w:color w:val="auto"/>
                      <w:sz w:val="21"/>
                      <w:szCs w:val="21"/>
                    </w:rPr>
                  </w:pPr>
                </w:p>
              </w:tc>
              <w:tc>
                <w:tcPr>
                  <w:tcW w:w="2802" w:type="pct"/>
                  <w:gridSpan w:val="5"/>
                </w:tcPr>
                <w:p w14:paraId="786887EE">
                  <w:pPr>
                    <w:spacing w:line="400" w:lineRule="exact"/>
                    <w:ind w:firstLine="1680" w:firstLineChars="800"/>
                    <w:rPr>
                      <w:rFonts w:ascii="宋体" w:hAnsi="宋体"/>
                      <w:color w:val="auto"/>
                      <w:sz w:val="21"/>
                      <w:szCs w:val="21"/>
                    </w:rPr>
                  </w:pPr>
                  <w:r>
                    <w:rPr>
                      <w:rFonts w:hint="eastAsia" w:ascii="宋体" w:hAnsi="宋体"/>
                      <w:color w:val="auto"/>
                      <w:sz w:val="21"/>
                      <w:szCs w:val="21"/>
                    </w:rPr>
                    <w:t>管卡间最大距离(M)</w:t>
                  </w:r>
                </w:p>
              </w:tc>
            </w:tr>
            <w:tr w14:paraId="38CD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50" w:type="pct"/>
                  <w:vMerge w:val="restart"/>
                </w:tcPr>
                <w:p w14:paraId="51BD3C72">
                  <w:pPr>
                    <w:spacing w:line="400" w:lineRule="exact"/>
                    <w:rPr>
                      <w:rFonts w:ascii="宋体" w:hAnsi="宋体"/>
                      <w:color w:val="auto"/>
                      <w:sz w:val="21"/>
                      <w:szCs w:val="21"/>
                    </w:rPr>
                  </w:pPr>
                </w:p>
                <w:p w14:paraId="12E46681">
                  <w:pPr>
                    <w:spacing w:line="400" w:lineRule="exact"/>
                    <w:rPr>
                      <w:rFonts w:ascii="宋体" w:hAnsi="宋体"/>
                      <w:color w:val="auto"/>
                      <w:sz w:val="21"/>
                      <w:szCs w:val="21"/>
                    </w:rPr>
                  </w:pPr>
                  <w:r>
                    <w:rPr>
                      <w:rFonts w:hint="eastAsia" w:ascii="宋体" w:hAnsi="宋体"/>
                      <w:color w:val="auto"/>
                      <w:sz w:val="21"/>
                      <w:szCs w:val="21"/>
                    </w:rPr>
                    <w:t>支架或沿墙明敷</w:t>
                  </w:r>
                </w:p>
              </w:tc>
              <w:tc>
                <w:tcPr>
                  <w:tcW w:w="1147" w:type="pct"/>
                </w:tcPr>
                <w:p w14:paraId="7784900D">
                  <w:pPr>
                    <w:spacing w:line="400" w:lineRule="exact"/>
                    <w:rPr>
                      <w:rFonts w:ascii="宋体" w:hAnsi="宋体"/>
                      <w:color w:val="auto"/>
                      <w:sz w:val="21"/>
                      <w:szCs w:val="21"/>
                    </w:rPr>
                  </w:pPr>
                  <w:r>
                    <w:rPr>
                      <w:rFonts w:hint="eastAsia" w:ascii="宋体" w:hAnsi="宋体"/>
                      <w:color w:val="auto"/>
                      <w:sz w:val="21"/>
                      <w:szCs w:val="21"/>
                    </w:rPr>
                    <w:t>壁厚&gt;2MM金属管</w:t>
                  </w:r>
                </w:p>
              </w:tc>
              <w:tc>
                <w:tcPr>
                  <w:tcW w:w="650" w:type="pct"/>
                </w:tcPr>
                <w:p w14:paraId="03D05CDC">
                  <w:pPr>
                    <w:spacing w:line="400" w:lineRule="exact"/>
                    <w:rPr>
                      <w:rFonts w:ascii="宋体" w:hAnsi="宋体"/>
                      <w:color w:val="auto"/>
                      <w:sz w:val="21"/>
                      <w:szCs w:val="21"/>
                    </w:rPr>
                  </w:pPr>
                  <w:r>
                    <w:rPr>
                      <w:rFonts w:hint="eastAsia" w:ascii="宋体" w:hAnsi="宋体"/>
                      <w:color w:val="auto"/>
                      <w:sz w:val="21"/>
                      <w:szCs w:val="21"/>
                    </w:rPr>
                    <w:t>1.5</w:t>
                  </w:r>
                </w:p>
              </w:tc>
              <w:tc>
                <w:tcPr>
                  <w:tcW w:w="518" w:type="pct"/>
                </w:tcPr>
                <w:p w14:paraId="3DB3A597">
                  <w:pPr>
                    <w:spacing w:line="400" w:lineRule="exact"/>
                    <w:rPr>
                      <w:rFonts w:ascii="宋体" w:hAnsi="宋体"/>
                      <w:color w:val="auto"/>
                      <w:sz w:val="21"/>
                      <w:szCs w:val="21"/>
                    </w:rPr>
                  </w:pPr>
                  <w:r>
                    <w:rPr>
                      <w:rFonts w:hint="eastAsia" w:ascii="宋体" w:hAnsi="宋体"/>
                      <w:color w:val="auto"/>
                      <w:sz w:val="21"/>
                      <w:szCs w:val="21"/>
                    </w:rPr>
                    <w:t>2.0</w:t>
                  </w:r>
                </w:p>
              </w:tc>
              <w:tc>
                <w:tcPr>
                  <w:tcW w:w="446" w:type="pct"/>
                </w:tcPr>
                <w:p w14:paraId="1D08C0C8">
                  <w:pPr>
                    <w:spacing w:line="400" w:lineRule="exact"/>
                    <w:rPr>
                      <w:rFonts w:ascii="宋体" w:hAnsi="宋体"/>
                      <w:color w:val="auto"/>
                      <w:sz w:val="21"/>
                      <w:szCs w:val="21"/>
                    </w:rPr>
                  </w:pPr>
                  <w:r>
                    <w:rPr>
                      <w:rFonts w:hint="eastAsia" w:ascii="宋体" w:hAnsi="宋体"/>
                      <w:color w:val="auto"/>
                      <w:sz w:val="21"/>
                      <w:szCs w:val="21"/>
                    </w:rPr>
                    <w:t>2.5</w:t>
                  </w:r>
                </w:p>
              </w:tc>
              <w:tc>
                <w:tcPr>
                  <w:tcW w:w="541" w:type="pct"/>
                </w:tcPr>
                <w:p w14:paraId="363B4D05">
                  <w:pPr>
                    <w:spacing w:line="400" w:lineRule="exact"/>
                    <w:rPr>
                      <w:rFonts w:ascii="宋体" w:hAnsi="宋体"/>
                      <w:color w:val="auto"/>
                      <w:sz w:val="21"/>
                      <w:szCs w:val="21"/>
                    </w:rPr>
                  </w:pPr>
                  <w:r>
                    <w:rPr>
                      <w:rFonts w:hint="eastAsia" w:ascii="宋体" w:hAnsi="宋体"/>
                      <w:color w:val="auto"/>
                      <w:sz w:val="21"/>
                      <w:szCs w:val="21"/>
                    </w:rPr>
                    <w:t>2.5</w:t>
                  </w:r>
                </w:p>
              </w:tc>
              <w:tc>
                <w:tcPr>
                  <w:tcW w:w="646" w:type="pct"/>
                </w:tcPr>
                <w:p w14:paraId="0FD14B6E">
                  <w:pPr>
                    <w:spacing w:line="400" w:lineRule="exact"/>
                    <w:rPr>
                      <w:rFonts w:ascii="宋体" w:hAnsi="宋体"/>
                      <w:color w:val="auto"/>
                      <w:sz w:val="21"/>
                      <w:szCs w:val="21"/>
                    </w:rPr>
                  </w:pPr>
                  <w:r>
                    <w:rPr>
                      <w:rFonts w:hint="eastAsia" w:ascii="宋体" w:hAnsi="宋体"/>
                      <w:color w:val="auto"/>
                      <w:sz w:val="21"/>
                      <w:szCs w:val="21"/>
                    </w:rPr>
                    <w:t>3.5</w:t>
                  </w:r>
                </w:p>
              </w:tc>
            </w:tr>
            <w:tr w14:paraId="4E3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0" w:type="pct"/>
                  <w:vMerge w:val="continue"/>
                </w:tcPr>
                <w:p w14:paraId="51F5B3DC">
                  <w:pPr>
                    <w:spacing w:line="400" w:lineRule="exact"/>
                    <w:rPr>
                      <w:rFonts w:ascii="宋体" w:hAnsi="宋体"/>
                      <w:color w:val="auto"/>
                      <w:sz w:val="21"/>
                      <w:szCs w:val="21"/>
                    </w:rPr>
                  </w:pPr>
                </w:p>
              </w:tc>
              <w:tc>
                <w:tcPr>
                  <w:tcW w:w="1147" w:type="pct"/>
                </w:tcPr>
                <w:p w14:paraId="369C9631">
                  <w:pPr>
                    <w:spacing w:line="400" w:lineRule="exact"/>
                    <w:rPr>
                      <w:rFonts w:ascii="宋体" w:hAnsi="宋体"/>
                      <w:color w:val="auto"/>
                      <w:sz w:val="21"/>
                      <w:szCs w:val="21"/>
                    </w:rPr>
                  </w:pPr>
                  <w:r>
                    <w:rPr>
                      <w:rFonts w:hint="eastAsia" w:ascii="宋体" w:hAnsi="宋体"/>
                      <w:color w:val="auto"/>
                      <w:sz w:val="21"/>
                      <w:szCs w:val="21"/>
                    </w:rPr>
                    <w:t>壁厚&lt;=2MM金属管</w:t>
                  </w:r>
                </w:p>
              </w:tc>
              <w:tc>
                <w:tcPr>
                  <w:tcW w:w="650" w:type="pct"/>
                </w:tcPr>
                <w:p w14:paraId="20AA0F36">
                  <w:pPr>
                    <w:spacing w:line="400" w:lineRule="exact"/>
                    <w:rPr>
                      <w:rFonts w:ascii="宋体" w:hAnsi="宋体"/>
                      <w:color w:val="auto"/>
                      <w:sz w:val="21"/>
                      <w:szCs w:val="21"/>
                    </w:rPr>
                  </w:pPr>
                  <w:r>
                    <w:rPr>
                      <w:rFonts w:hint="eastAsia" w:ascii="宋体" w:hAnsi="宋体"/>
                      <w:color w:val="auto"/>
                      <w:sz w:val="21"/>
                      <w:szCs w:val="21"/>
                    </w:rPr>
                    <w:t>1.0</w:t>
                  </w:r>
                </w:p>
              </w:tc>
              <w:tc>
                <w:tcPr>
                  <w:tcW w:w="518" w:type="pct"/>
                </w:tcPr>
                <w:p w14:paraId="6FDAC348">
                  <w:pPr>
                    <w:spacing w:line="400" w:lineRule="exact"/>
                    <w:rPr>
                      <w:rFonts w:ascii="宋体" w:hAnsi="宋体"/>
                      <w:color w:val="auto"/>
                      <w:sz w:val="21"/>
                      <w:szCs w:val="21"/>
                    </w:rPr>
                  </w:pPr>
                  <w:r>
                    <w:rPr>
                      <w:rFonts w:hint="eastAsia" w:ascii="宋体" w:hAnsi="宋体"/>
                      <w:color w:val="auto"/>
                      <w:sz w:val="21"/>
                      <w:szCs w:val="21"/>
                    </w:rPr>
                    <w:t>1.5</w:t>
                  </w:r>
                </w:p>
              </w:tc>
              <w:tc>
                <w:tcPr>
                  <w:tcW w:w="446" w:type="pct"/>
                </w:tcPr>
                <w:p w14:paraId="29E0CCEC">
                  <w:pPr>
                    <w:spacing w:line="400" w:lineRule="exact"/>
                    <w:rPr>
                      <w:rFonts w:ascii="宋体" w:hAnsi="宋体"/>
                      <w:color w:val="auto"/>
                      <w:sz w:val="21"/>
                      <w:szCs w:val="21"/>
                    </w:rPr>
                  </w:pPr>
                  <w:r>
                    <w:rPr>
                      <w:rFonts w:hint="eastAsia" w:ascii="宋体" w:hAnsi="宋体"/>
                      <w:color w:val="auto"/>
                      <w:sz w:val="21"/>
                      <w:szCs w:val="21"/>
                    </w:rPr>
                    <w:t>2.0</w:t>
                  </w:r>
                </w:p>
              </w:tc>
              <w:tc>
                <w:tcPr>
                  <w:tcW w:w="541" w:type="pct"/>
                </w:tcPr>
                <w:p w14:paraId="6F2985A3">
                  <w:pPr>
                    <w:spacing w:line="400" w:lineRule="exact"/>
                    <w:rPr>
                      <w:rFonts w:ascii="宋体" w:hAnsi="宋体"/>
                      <w:color w:val="auto"/>
                      <w:sz w:val="21"/>
                      <w:szCs w:val="21"/>
                    </w:rPr>
                  </w:pPr>
                  <w:r>
                    <w:rPr>
                      <w:rFonts w:hint="eastAsia" w:ascii="宋体" w:hAnsi="宋体"/>
                      <w:color w:val="auto"/>
                      <w:sz w:val="21"/>
                      <w:szCs w:val="21"/>
                    </w:rPr>
                    <w:t>_</w:t>
                  </w:r>
                </w:p>
              </w:tc>
              <w:tc>
                <w:tcPr>
                  <w:tcW w:w="646" w:type="pct"/>
                </w:tcPr>
                <w:p w14:paraId="6194618A">
                  <w:pPr>
                    <w:spacing w:line="400" w:lineRule="exact"/>
                    <w:rPr>
                      <w:rFonts w:ascii="宋体" w:hAnsi="宋体"/>
                      <w:color w:val="auto"/>
                      <w:sz w:val="21"/>
                      <w:szCs w:val="21"/>
                    </w:rPr>
                  </w:pPr>
                  <w:r>
                    <w:rPr>
                      <w:rFonts w:hint="eastAsia" w:ascii="宋体" w:hAnsi="宋体"/>
                      <w:color w:val="auto"/>
                      <w:sz w:val="21"/>
                      <w:szCs w:val="21"/>
                    </w:rPr>
                    <w:t>_</w:t>
                  </w:r>
                </w:p>
              </w:tc>
            </w:tr>
            <w:tr w14:paraId="57CB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50" w:type="pct"/>
                  <w:vMerge w:val="continue"/>
                </w:tcPr>
                <w:p w14:paraId="540CB893">
                  <w:pPr>
                    <w:spacing w:line="400" w:lineRule="exact"/>
                    <w:rPr>
                      <w:rFonts w:ascii="宋体" w:hAnsi="宋体"/>
                      <w:color w:val="auto"/>
                      <w:sz w:val="21"/>
                      <w:szCs w:val="21"/>
                    </w:rPr>
                  </w:pPr>
                </w:p>
              </w:tc>
              <w:tc>
                <w:tcPr>
                  <w:tcW w:w="1147" w:type="pct"/>
                </w:tcPr>
                <w:p w14:paraId="42AF6981">
                  <w:pPr>
                    <w:spacing w:line="400" w:lineRule="exact"/>
                    <w:rPr>
                      <w:rFonts w:ascii="宋体" w:hAnsi="宋体"/>
                      <w:color w:val="auto"/>
                      <w:sz w:val="21"/>
                      <w:szCs w:val="21"/>
                    </w:rPr>
                  </w:pPr>
                  <w:r>
                    <w:rPr>
                      <w:rFonts w:hint="eastAsia" w:ascii="宋体" w:hAnsi="宋体"/>
                      <w:color w:val="auto"/>
                      <w:sz w:val="21"/>
                      <w:szCs w:val="21"/>
                    </w:rPr>
                    <w:t>PVC管</w:t>
                  </w:r>
                </w:p>
              </w:tc>
              <w:tc>
                <w:tcPr>
                  <w:tcW w:w="650" w:type="pct"/>
                </w:tcPr>
                <w:p w14:paraId="698B51F4">
                  <w:pPr>
                    <w:spacing w:line="400" w:lineRule="exact"/>
                    <w:rPr>
                      <w:rFonts w:ascii="宋体" w:hAnsi="宋体"/>
                      <w:color w:val="auto"/>
                      <w:sz w:val="21"/>
                      <w:szCs w:val="21"/>
                    </w:rPr>
                  </w:pPr>
                  <w:r>
                    <w:rPr>
                      <w:rFonts w:hint="eastAsia" w:ascii="宋体" w:hAnsi="宋体"/>
                      <w:color w:val="auto"/>
                      <w:sz w:val="21"/>
                      <w:szCs w:val="21"/>
                    </w:rPr>
                    <w:t>1.0</w:t>
                  </w:r>
                </w:p>
              </w:tc>
              <w:tc>
                <w:tcPr>
                  <w:tcW w:w="518" w:type="pct"/>
                </w:tcPr>
                <w:p w14:paraId="011431ED">
                  <w:pPr>
                    <w:spacing w:line="400" w:lineRule="exact"/>
                    <w:rPr>
                      <w:rFonts w:ascii="宋体" w:hAnsi="宋体"/>
                      <w:color w:val="auto"/>
                      <w:sz w:val="21"/>
                      <w:szCs w:val="21"/>
                    </w:rPr>
                  </w:pPr>
                  <w:r>
                    <w:rPr>
                      <w:rFonts w:hint="eastAsia" w:ascii="宋体" w:hAnsi="宋体"/>
                      <w:color w:val="auto"/>
                      <w:sz w:val="21"/>
                      <w:szCs w:val="21"/>
                    </w:rPr>
                    <w:t>1.5</w:t>
                  </w:r>
                </w:p>
              </w:tc>
              <w:tc>
                <w:tcPr>
                  <w:tcW w:w="446" w:type="pct"/>
                </w:tcPr>
                <w:p w14:paraId="5D6CF052">
                  <w:pPr>
                    <w:spacing w:line="400" w:lineRule="exact"/>
                    <w:rPr>
                      <w:rFonts w:ascii="宋体" w:hAnsi="宋体"/>
                      <w:color w:val="auto"/>
                      <w:sz w:val="21"/>
                      <w:szCs w:val="21"/>
                    </w:rPr>
                  </w:pPr>
                  <w:r>
                    <w:rPr>
                      <w:rFonts w:hint="eastAsia" w:ascii="宋体" w:hAnsi="宋体"/>
                      <w:color w:val="auto"/>
                      <w:sz w:val="21"/>
                      <w:szCs w:val="21"/>
                    </w:rPr>
                    <w:t>1.5</w:t>
                  </w:r>
                </w:p>
              </w:tc>
              <w:tc>
                <w:tcPr>
                  <w:tcW w:w="541" w:type="pct"/>
                </w:tcPr>
                <w:p w14:paraId="370897A0">
                  <w:pPr>
                    <w:spacing w:line="400" w:lineRule="exact"/>
                    <w:rPr>
                      <w:rFonts w:ascii="宋体" w:hAnsi="宋体"/>
                      <w:color w:val="auto"/>
                      <w:sz w:val="21"/>
                      <w:szCs w:val="21"/>
                    </w:rPr>
                  </w:pPr>
                  <w:r>
                    <w:rPr>
                      <w:rFonts w:hint="eastAsia" w:ascii="宋体" w:hAnsi="宋体"/>
                      <w:color w:val="auto"/>
                      <w:sz w:val="21"/>
                      <w:szCs w:val="21"/>
                    </w:rPr>
                    <w:t>2.0</w:t>
                  </w:r>
                </w:p>
              </w:tc>
              <w:tc>
                <w:tcPr>
                  <w:tcW w:w="646" w:type="pct"/>
                </w:tcPr>
                <w:p w14:paraId="40050FFA">
                  <w:pPr>
                    <w:spacing w:line="400" w:lineRule="exact"/>
                    <w:rPr>
                      <w:rFonts w:ascii="宋体" w:hAnsi="宋体"/>
                      <w:color w:val="auto"/>
                      <w:sz w:val="21"/>
                      <w:szCs w:val="21"/>
                    </w:rPr>
                  </w:pPr>
                  <w:r>
                    <w:rPr>
                      <w:rFonts w:hint="eastAsia" w:ascii="宋体" w:hAnsi="宋体"/>
                      <w:color w:val="auto"/>
                      <w:sz w:val="21"/>
                      <w:szCs w:val="21"/>
                    </w:rPr>
                    <w:t>2.0</w:t>
                  </w:r>
                </w:p>
              </w:tc>
            </w:tr>
          </w:tbl>
          <w:p w14:paraId="16458818">
            <w:pPr>
              <w:widowControl/>
              <w:spacing w:line="400" w:lineRule="exact"/>
              <w:jc w:val="left"/>
              <w:rPr>
                <w:rFonts w:ascii="宋体" w:hAnsi="宋体"/>
                <w:color w:val="auto"/>
                <w:sz w:val="21"/>
                <w:szCs w:val="21"/>
              </w:rPr>
            </w:pPr>
          </w:p>
          <w:p w14:paraId="2E533315">
            <w:pPr>
              <w:widowControl/>
              <w:spacing w:line="400" w:lineRule="exact"/>
              <w:jc w:val="left"/>
              <w:rPr>
                <w:rFonts w:ascii="宋体" w:hAnsi="宋体"/>
                <w:color w:val="auto"/>
                <w:sz w:val="21"/>
                <w:szCs w:val="21"/>
              </w:rPr>
            </w:pPr>
            <w:r>
              <w:rPr>
                <w:rFonts w:hint="eastAsia" w:ascii="宋体" w:hAnsi="宋体"/>
                <w:color w:val="auto"/>
                <w:sz w:val="21"/>
                <w:szCs w:val="21"/>
              </w:rPr>
              <w:t>（5）线管转弯处及进入开关、插座、灯座和接线盒前300MM处都应用管卡固定。</w:t>
            </w:r>
          </w:p>
          <w:p w14:paraId="397D9F1E">
            <w:pPr>
              <w:widowControl/>
              <w:spacing w:line="400" w:lineRule="exact"/>
              <w:jc w:val="left"/>
              <w:rPr>
                <w:rFonts w:ascii="宋体" w:hAnsi="宋体"/>
                <w:color w:val="auto"/>
                <w:sz w:val="21"/>
                <w:szCs w:val="21"/>
              </w:rPr>
            </w:pPr>
            <w:r>
              <w:rPr>
                <w:rFonts w:hint="eastAsia" w:ascii="宋体" w:hAnsi="宋体"/>
                <w:color w:val="auto"/>
                <w:sz w:val="21"/>
                <w:szCs w:val="21"/>
              </w:rPr>
              <w:t>（6）线管架空时，距离超过2米应加钢丝并进行捆扎保护。</w:t>
            </w:r>
          </w:p>
          <w:p w14:paraId="2ADF67F0">
            <w:pPr>
              <w:widowControl/>
              <w:spacing w:line="400" w:lineRule="exact"/>
              <w:jc w:val="left"/>
              <w:rPr>
                <w:rFonts w:ascii="宋体" w:hAnsi="宋体"/>
                <w:color w:val="auto"/>
                <w:sz w:val="21"/>
                <w:szCs w:val="21"/>
              </w:rPr>
            </w:pPr>
            <w:r>
              <w:rPr>
                <w:rFonts w:hint="eastAsia" w:ascii="宋体" w:hAnsi="宋体"/>
                <w:color w:val="auto"/>
                <w:sz w:val="21"/>
                <w:szCs w:val="21"/>
              </w:rPr>
              <w:t>暗敷</w:t>
            </w:r>
          </w:p>
          <w:p w14:paraId="67BD9A38">
            <w:pPr>
              <w:widowControl/>
              <w:spacing w:line="400" w:lineRule="exact"/>
              <w:jc w:val="left"/>
              <w:rPr>
                <w:rFonts w:ascii="宋体" w:hAnsi="宋体"/>
                <w:color w:val="auto"/>
                <w:sz w:val="21"/>
                <w:szCs w:val="21"/>
              </w:rPr>
            </w:pPr>
            <w:r>
              <w:rPr>
                <w:rFonts w:hint="eastAsia" w:ascii="宋体" w:hAnsi="宋体"/>
                <w:color w:val="auto"/>
                <w:sz w:val="21"/>
                <w:szCs w:val="21"/>
              </w:rPr>
              <w:t>（1）布管每15M处应设置过线盒。</w:t>
            </w:r>
          </w:p>
          <w:p w14:paraId="58B1A47F">
            <w:pPr>
              <w:widowControl/>
              <w:spacing w:line="400" w:lineRule="exact"/>
              <w:jc w:val="left"/>
              <w:rPr>
                <w:rFonts w:ascii="宋体" w:hAnsi="宋体"/>
                <w:color w:val="auto"/>
                <w:sz w:val="21"/>
                <w:szCs w:val="21"/>
              </w:rPr>
            </w:pPr>
            <w:r>
              <w:rPr>
                <w:rFonts w:hint="eastAsia" w:ascii="宋体" w:hAnsi="宋体"/>
                <w:color w:val="auto"/>
                <w:sz w:val="21"/>
                <w:szCs w:val="21"/>
              </w:rPr>
              <w:t>（2）暗管的转弯角度应大于90度，转弯角应不多于2个，无S弯出现。</w:t>
            </w:r>
          </w:p>
          <w:p w14:paraId="62EE6950">
            <w:pPr>
              <w:widowControl/>
              <w:spacing w:line="400" w:lineRule="exact"/>
              <w:jc w:val="left"/>
              <w:rPr>
                <w:rFonts w:ascii="宋体" w:hAnsi="宋体"/>
                <w:color w:val="auto"/>
                <w:sz w:val="21"/>
                <w:szCs w:val="21"/>
              </w:rPr>
            </w:pPr>
            <w:r>
              <w:rPr>
                <w:rFonts w:hint="eastAsia" w:ascii="宋体" w:hAnsi="宋体"/>
                <w:color w:val="auto"/>
                <w:sz w:val="21"/>
                <w:szCs w:val="21"/>
              </w:rPr>
              <w:t>（3）暗管管口应光滑，并加有护口保护，管口伸出部位应为25~50MM.。</w:t>
            </w:r>
          </w:p>
          <w:p w14:paraId="3FCDFEA3">
            <w:pPr>
              <w:widowControl/>
              <w:spacing w:line="400" w:lineRule="exact"/>
              <w:jc w:val="left"/>
              <w:rPr>
                <w:rFonts w:ascii="宋体" w:hAnsi="宋体"/>
                <w:color w:val="auto"/>
                <w:sz w:val="21"/>
                <w:szCs w:val="21"/>
              </w:rPr>
            </w:pPr>
            <w:r>
              <w:rPr>
                <w:rFonts w:hint="eastAsia" w:ascii="宋体" w:hAnsi="宋体"/>
                <w:color w:val="auto"/>
                <w:sz w:val="21"/>
                <w:szCs w:val="21"/>
              </w:rPr>
              <w:t>（4）线管在吊顶上方布放时，不应直接放置于吊顶上方。应固定于吊架或建筑物侧面及顶面，固定间距要求。</w:t>
            </w:r>
          </w:p>
          <w:p w14:paraId="52CC3AE8">
            <w:pPr>
              <w:widowControl/>
              <w:spacing w:line="400" w:lineRule="exact"/>
              <w:jc w:val="left"/>
              <w:rPr>
                <w:rFonts w:ascii="宋体" w:hAnsi="宋体"/>
                <w:color w:val="auto"/>
                <w:sz w:val="21"/>
                <w:szCs w:val="21"/>
              </w:rPr>
            </w:pPr>
            <w:r>
              <w:rPr>
                <w:rFonts w:hint="eastAsia" w:ascii="宋体" w:hAnsi="宋体"/>
                <w:color w:val="auto"/>
                <w:sz w:val="21"/>
                <w:szCs w:val="21"/>
              </w:rPr>
              <w:t>3、线缆敷设要求</w:t>
            </w:r>
          </w:p>
          <w:p w14:paraId="243DCA69">
            <w:pPr>
              <w:widowControl/>
              <w:spacing w:line="400" w:lineRule="exact"/>
              <w:jc w:val="left"/>
              <w:rPr>
                <w:rFonts w:ascii="宋体" w:hAnsi="宋体"/>
                <w:color w:val="auto"/>
                <w:sz w:val="21"/>
                <w:szCs w:val="21"/>
              </w:rPr>
            </w:pPr>
            <w:r>
              <w:rPr>
                <w:rFonts w:hint="eastAsia" w:ascii="宋体" w:hAnsi="宋体"/>
                <w:color w:val="auto"/>
                <w:sz w:val="21"/>
                <w:szCs w:val="21"/>
              </w:rPr>
              <w:t>（1）线缆的数量、型号、规格应符合设计要求。</w:t>
            </w:r>
          </w:p>
          <w:p w14:paraId="4C0ABC44">
            <w:pPr>
              <w:widowControl/>
              <w:spacing w:line="400" w:lineRule="exact"/>
              <w:jc w:val="left"/>
              <w:rPr>
                <w:rFonts w:ascii="宋体" w:hAnsi="宋体"/>
                <w:color w:val="auto"/>
                <w:sz w:val="21"/>
                <w:szCs w:val="21"/>
              </w:rPr>
            </w:pPr>
            <w:r>
              <w:rPr>
                <w:rFonts w:hint="eastAsia" w:ascii="宋体" w:hAnsi="宋体"/>
                <w:color w:val="auto"/>
                <w:sz w:val="21"/>
                <w:szCs w:val="21"/>
              </w:rPr>
              <w:t>（2）槽、管内导线总截面积（包括外护层）不得超过线槽有效面积的60%</w:t>
            </w:r>
          </w:p>
          <w:p w14:paraId="54843EA1">
            <w:pPr>
              <w:widowControl/>
              <w:spacing w:line="400" w:lineRule="exact"/>
              <w:jc w:val="left"/>
              <w:rPr>
                <w:rFonts w:ascii="宋体" w:hAnsi="宋体"/>
                <w:color w:val="auto"/>
                <w:sz w:val="21"/>
                <w:szCs w:val="21"/>
              </w:rPr>
            </w:pPr>
            <w:r>
              <w:rPr>
                <w:rFonts w:hint="eastAsia" w:ascii="宋体" w:hAnsi="宋体"/>
                <w:color w:val="auto"/>
                <w:sz w:val="21"/>
                <w:szCs w:val="21"/>
              </w:rPr>
              <w:t>（3）缆线的布放应自然平直，不得产生扭绞、打圈、损伤现象。</w:t>
            </w:r>
          </w:p>
          <w:p w14:paraId="4C6C25F4">
            <w:pPr>
              <w:widowControl/>
              <w:spacing w:line="400" w:lineRule="exact"/>
              <w:jc w:val="left"/>
              <w:rPr>
                <w:rFonts w:ascii="宋体" w:hAnsi="宋体"/>
                <w:color w:val="auto"/>
                <w:sz w:val="21"/>
                <w:szCs w:val="21"/>
              </w:rPr>
            </w:pPr>
            <w:r>
              <w:rPr>
                <w:rFonts w:hint="eastAsia" w:ascii="宋体" w:hAnsi="宋体"/>
                <w:color w:val="auto"/>
                <w:sz w:val="21"/>
                <w:szCs w:val="21"/>
              </w:rPr>
              <w:t>（4）线缆的弯曲度不小于90度。</w:t>
            </w:r>
          </w:p>
          <w:p w14:paraId="2D38FD44">
            <w:pPr>
              <w:widowControl/>
              <w:spacing w:line="400" w:lineRule="exact"/>
              <w:jc w:val="left"/>
              <w:rPr>
                <w:rFonts w:ascii="宋体" w:hAnsi="宋体"/>
                <w:color w:val="auto"/>
                <w:sz w:val="21"/>
                <w:szCs w:val="21"/>
              </w:rPr>
            </w:pPr>
            <w:r>
              <w:rPr>
                <w:rFonts w:hint="eastAsia" w:ascii="宋体" w:hAnsi="宋体"/>
                <w:color w:val="auto"/>
                <w:sz w:val="21"/>
                <w:szCs w:val="21"/>
              </w:rPr>
              <w:t>（5）线缆在管内或线槽内不应有接头，接头应在接线盒内焊接或用端子连接。</w:t>
            </w:r>
          </w:p>
          <w:p w14:paraId="6D9A504C">
            <w:pPr>
              <w:widowControl/>
              <w:spacing w:line="400" w:lineRule="exact"/>
              <w:jc w:val="left"/>
              <w:rPr>
                <w:rFonts w:ascii="宋体" w:hAnsi="宋体"/>
                <w:color w:val="auto"/>
                <w:sz w:val="21"/>
                <w:szCs w:val="21"/>
              </w:rPr>
            </w:pPr>
            <w:r>
              <w:rPr>
                <w:rFonts w:hint="eastAsia" w:ascii="宋体" w:hAnsi="宋体"/>
                <w:color w:val="auto"/>
                <w:sz w:val="21"/>
                <w:szCs w:val="21"/>
              </w:rPr>
              <w:t>（6）网络线、控制线、同轴电缆应一线到位，中间无接头。单根网络线长度不能超过90米，同轴电缆不能超过150M。</w:t>
            </w:r>
          </w:p>
          <w:p w14:paraId="479FA3F6">
            <w:pPr>
              <w:widowControl/>
              <w:spacing w:line="400" w:lineRule="exact"/>
              <w:jc w:val="left"/>
              <w:rPr>
                <w:rFonts w:ascii="宋体" w:hAnsi="宋体"/>
                <w:color w:val="auto"/>
                <w:sz w:val="21"/>
                <w:szCs w:val="21"/>
              </w:rPr>
            </w:pPr>
            <w:r>
              <w:rPr>
                <w:rFonts w:hint="eastAsia" w:ascii="宋体" w:hAnsi="宋体"/>
                <w:color w:val="auto"/>
                <w:sz w:val="21"/>
                <w:szCs w:val="21"/>
              </w:rPr>
              <w:t>（7）穿过梁、墙、楼板和跨越线路等处线缆应有保护管。</w:t>
            </w:r>
          </w:p>
          <w:p w14:paraId="04B5ED8D">
            <w:pPr>
              <w:widowControl/>
              <w:spacing w:line="400" w:lineRule="exact"/>
              <w:jc w:val="left"/>
              <w:rPr>
                <w:rFonts w:ascii="宋体" w:hAnsi="宋体"/>
                <w:color w:val="auto"/>
                <w:sz w:val="21"/>
                <w:szCs w:val="21"/>
              </w:rPr>
            </w:pPr>
            <w:r>
              <w:rPr>
                <w:rFonts w:hint="eastAsia" w:ascii="宋体" w:hAnsi="宋体"/>
                <w:color w:val="auto"/>
                <w:sz w:val="21"/>
                <w:szCs w:val="21"/>
              </w:rPr>
              <w:t>（8）线缆两端有明显标识，标识明确、清晰、耐擦、无损伤。</w:t>
            </w:r>
          </w:p>
          <w:p w14:paraId="5E77A1B1">
            <w:pPr>
              <w:widowControl/>
              <w:spacing w:line="400" w:lineRule="exact"/>
              <w:jc w:val="left"/>
              <w:rPr>
                <w:rFonts w:ascii="宋体" w:hAnsi="宋体"/>
                <w:color w:val="auto"/>
                <w:sz w:val="21"/>
                <w:szCs w:val="21"/>
              </w:rPr>
            </w:pPr>
            <w:r>
              <w:rPr>
                <w:rFonts w:hint="eastAsia" w:ascii="宋体" w:hAnsi="宋体"/>
                <w:color w:val="auto"/>
                <w:sz w:val="21"/>
                <w:szCs w:val="21"/>
              </w:rPr>
              <w:t>（9）缆线应有余量，按要求分组、捋直，从线槽、线管口开始就捆扎好，并对出口处进行防火封堵。</w:t>
            </w:r>
          </w:p>
          <w:p w14:paraId="6FCA3B4D">
            <w:pPr>
              <w:widowControl/>
              <w:spacing w:line="400" w:lineRule="exact"/>
              <w:jc w:val="left"/>
              <w:rPr>
                <w:rFonts w:ascii="宋体" w:hAnsi="宋体"/>
                <w:color w:val="auto"/>
                <w:sz w:val="21"/>
                <w:szCs w:val="21"/>
              </w:rPr>
            </w:pPr>
            <w:r>
              <w:rPr>
                <w:rFonts w:hint="eastAsia" w:ascii="宋体" w:hAnsi="宋体"/>
                <w:color w:val="auto"/>
                <w:sz w:val="21"/>
                <w:szCs w:val="21"/>
              </w:rPr>
              <w:t>（10）电源线与弱电线缆应分隔布放，最小净距离应大于130MM.。</w:t>
            </w:r>
          </w:p>
          <w:p w14:paraId="2411A448">
            <w:pPr>
              <w:widowControl/>
              <w:spacing w:line="400" w:lineRule="exact"/>
              <w:jc w:val="left"/>
              <w:rPr>
                <w:rFonts w:ascii="宋体" w:hAnsi="宋体"/>
                <w:color w:val="auto"/>
                <w:sz w:val="21"/>
                <w:szCs w:val="21"/>
              </w:rPr>
            </w:pPr>
            <w:r>
              <w:rPr>
                <w:rFonts w:hint="eastAsia" w:ascii="宋体" w:hAnsi="宋体"/>
                <w:color w:val="auto"/>
                <w:sz w:val="21"/>
                <w:szCs w:val="21"/>
              </w:rPr>
              <w:t>4、打穿楼墙洞及恢复</w:t>
            </w:r>
          </w:p>
          <w:p w14:paraId="2756BDCC">
            <w:pPr>
              <w:widowControl/>
              <w:spacing w:line="400" w:lineRule="exact"/>
              <w:jc w:val="left"/>
              <w:rPr>
                <w:rFonts w:ascii="宋体" w:hAnsi="宋体"/>
                <w:color w:val="auto"/>
                <w:sz w:val="21"/>
                <w:szCs w:val="21"/>
              </w:rPr>
            </w:pPr>
            <w:r>
              <w:rPr>
                <w:rFonts w:hint="eastAsia" w:ascii="宋体" w:hAnsi="宋体"/>
                <w:color w:val="auto"/>
                <w:sz w:val="21"/>
                <w:szCs w:val="21"/>
              </w:rPr>
              <w:t>（1）打穿楼墙洞位置符合施工要求。</w:t>
            </w:r>
          </w:p>
          <w:p w14:paraId="02165521">
            <w:pPr>
              <w:widowControl/>
              <w:spacing w:line="400" w:lineRule="exact"/>
              <w:jc w:val="left"/>
              <w:rPr>
                <w:rFonts w:ascii="宋体" w:hAnsi="宋体"/>
                <w:color w:val="auto"/>
                <w:sz w:val="21"/>
                <w:szCs w:val="21"/>
              </w:rPr>
            </w:pPr>
            <w:r>
              <w:rPr>
                <w:rFonts w:hint="eastAsia" w:ascii="宋体" w:hAnsi="宋体"/>
                <w:color w:val="auto"/>
                <w:sz w:val="21"/>
                <w:szCs w:val="21"/>
              </w:rPr>
              <w:t>（2）穿洞截面稍大于所穿线缆横截面，洞表面平整。</w:t>
            </w:r>
          </w:p>
          <w:p w14:paraId="7B801EE0">
            <w:pPr>
              <w:widowControl/>
              <w:spacing w:line="400" w:lineRule="exact"/>
              <w:jc w:val="left"/>
              <w:rPr>
                <w:rFonts w:ascii="宋体" w:hAnsi="宋体"/>
                <w:color w:val="auto"/>
                <w:sz w:val="21"/>
                <w:szCs w:val="21"/>
              </w:rPr>
            </w:pPr>
            <w:r>
              <w:rPr>
                <w:rFonts w:hint="eastAsia" w:ascii="宋体" w:hAnsi="宋体"/>
                <w:color w:val="auto"/>
                <w:sz w:val="21"/>
                <w:szCs w:val="21"/>
              </w:rPr>
              <w:t>（3）线缆敷设完工后洞口两端应用防火材料进行封堵，墙面、地面做好密封处理并恢复原状。</w:t>
            </w:r>
          </w:p>
          <w:p w14:paraId="3CECB81F">
            <w:pPr>
              <w:widowControl/>
              <w:spacing w:line="400" w:lineRule="exact"/>
              <w:jc w:val="left"/>
              <w:rPr>
                <w:rFonts w:ascii="宋体" w:hAnsi="宋体"/>
                <w:color w:val="auto"/>
                <w:sz w:val="21"/>
                <w:szCs w:val="21"/>
              </w:rPr>
            </w:pPr>
            <w:r>
              <w:rPr>
                <w:rFonts w:hint="eastAsia" w:ascii="宋体" w:hAnsi="宋体"/>
                <w:color w:val="auto"/>
                <w:sz w:val="21"/>
                <w:szCs w:val="21"/>
              </w:rPr>
              <w:t>5、室内墙面、地面开槽及恢复</w:t>
            </w:r>
          </w:p>
          <w:p w14:paraId="4F62B6BF">
            <w:pPr>
              <w:widowControl/>
              <w:spacing w:line="400" w:lineRule="exact"/>
              <w:jc w:val="left"/>
              <w:rPr>
                <w:rFonts w:ascii="宋体" w:hAnsi="宋体"/>
                <w:color w:val="auto"/>
                <w:sz w:val="21"/>
                <w:szCs w:val="21"/>
              </w:rPr>
            </w:pPr>
            <w:r>
              <w:rPr>
                <w:rFonts w:hint="eastAsia" w:ascii="宋体" w:hAnsi="宋体"/>
                <w:color w:val="auto"/>
                <w:sz w:val="21"/>
                <w:szCs w:val="21"/>
              </w:rPr>
              <w:t>（1）开槽位置、宽度、深度符合施工要求。</w:t>
            </w:r>
          </w:p>
          <w:p w14:paraId="6F0CE5D7">
            <w:pPr>
              <w:widowControl/>
              <w:spacing w:line="400" w:lineRule="exact"/>
              <w:jc w:val="left"/>
              <w:rPr>
                <w:rFonts w:ascii="宋体" w:hAnsi="宋体"/>
                <w:color w:val="auto"/>
                <w:sz w:val="21"/>
                <w:szCs w:val="21"/>
              </w:rPr>
            </w:pPr>
            <w:r>
              <w:rPr>
                <w:rFonts w:hint="eastAsia" w:ascii="宋体" w:hAnsi="宋体"/>
                <w:color w:val="auto"/>
                <w:sz w:val="21"/>
                <w:szCs w:val="21"/>
              </w:rPr>
              <w:t>（2）开槽宽度、深度与暗埋管槽规格相适应，管槽无露出。</w:t>
            </w:r>
          </w:p>
          <w:p w14:paraId="70247FCF">
            <w:pPr>
              <w:widowControl/>
              <w:spacing w:line="400" w:lineRule="exact"/>
              <w:jc w:val="left"/>
              <w:rPr>
                <w:rFonts w:ascii="宋体" w:hAnsi="宋体"/>
                <w:color w:val="auto"/>
                <w:sz w:val="21"/>
                <w:szCs w:val="21"/>
              </w:rPr>
            </w:pPr>
            <w:r>
              <w:rPr>
                <w:rFonts w:hint="eastAsia" w:ascii="宋体" w:hAnsi="宋体"/>
                <w:color w:val="auto"/>
                <w:sz w:val="21"/>
                <w:szCs w:val="21"/>
              </w:rPr>
              <w:t>（3）线缆敷设完工后，墙面、地面开槽处应恢复原状。</w:t>
            </w:r>
          </w:p>
          <w:p w14:paraId="1B13DBEE">
            <w:pPr>
              <w:widowControl/>
              <w:spacing w:line="400" w:lineRule="exact"/>
              <w:jc w:val="left"/>
              <w:rPr>
                <w:rFonts w:ascii="宋体" w:hAnsi="宋体"/>
                <w:color w:val="auto"/>
                <w:sz w:val="21"/>
                <w:szCs w:val="21"/>
              </w:rPr>
            </w:pPr>
            <w:r>
              <w:rPr>
                <w:rFonts w:hint="eastAsia" w:ascii="宋体" w:hAnsi="宋体"/>
                <w:color w:val="auto"/>
                <w:sz w:val="21"/>
                <w:szCs w:val="21"/>
              </w:rPr>
              <w:t>6、机柜及设备箱安装质量要求</w:t>
            </w:r>
          </w:p>
          <w:p w14:paraId="610CE5CC">
            <w:pPr>
              <w:widowControl/>
              <w:spacing w:line="400" w:lineRule="exact"/>
              <w:jc w:val="left"/>
              <w:rPr>
                <w:rFonts w:ascii="宋体" w:hAnsi="宋体"/>
                <w:color w:val="auto"/>
                <w:sz w:val="21"/>
                <w:szCs w:val="21"/>
              </w:rPr>
            </w:pPr>
            <w:r>
              <w:rPr>
                <w:rFonts w:hint="eastAsia" w:ascii="宋体" w:hAnsi="宋体"/>
                <w:color w:val="auto"/>
                <w:sz w:val="21"/>
                <w:szCs w:val="21"/>
              </w:rPr>
              <w:t xml:space="preserve"> （1）安装位置符合施工要求。</w:t>
            </w:r>
          </w:p>
          <w:p w14:paraId="62634096">
            <w:pPr>
              <w:widowControl/>
              <w:spacing w:line="400" w:lineRule="exact"/>
              <w:jc w:val="left"/>
              <w:rPr>
                <w:rFonts w:ascii="宋体" w:hAnsi="宋体"/>
                <w:color w:val="auto"/>
                <w:sz w:val="21"/>
                <w:szCs w:val="21"/>
              </w:rPr>
            </w:pPr>
            <w:r>
              <w:rPr>
                <w:rFonts w:hint="eastAsia" w:ascii="宋体" w:hAnsi="宋体"/>
                <w:color w:val="auto"/>
                <w:sz w:val="21"/>
                <w:szCs w:val="21"/>
              </w:rPr>
              <w:t xml:space="preserve"> （2）固定应牢靠。</w:t>
            </w:r>
          </w:p>
          <w:p w14:paraId="7D8815EE">
            <w:pPr>
              <w:widowControl/>
              <w:spacing w:line="400" w:lineRule="exact"/>
              <w:jc w:val="left"/>
              <w:rPr>
                <w:rFonts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 （3）线缆接入设备箱时必须套管保护，无露线情况。</w:t>
            </w:r>
          </w:p>
        </w:tc>
        <w:tc>
          <w:tcPr>
            <w:tcW w:w="2496" w:type="dxa"/>
            <w:shd w:val="clear" w:color="auto" w:fill="auto"/>
            <w:vAlign w:val="center"/>
          </w:tcPr>
          <w:p w14:paraId="3E49CA19">
            <w:pPr>
              <w:snapToGrid w:val="0"/>
              <w:spacing w:line="400" w:lineRule="exact"/>
              <w:jc w:val="center"/>
              <w:rPr>
                <w:rFonts w:ascii="宋体" w:hAnsi="宋体" w:cs="宋体"/>
                <w:b/>
                <w:color w:val="auto"/>
                <w:szCs w:val="21"/>
              </w:rPr>
            </w:pPr>
          </w:p>
        </w:tc>
        <w:tc>
          <w:tcPr>
            <w:tcW w:w="741" w:type="dxa"/>
            <w:shd w:val="clear" w:color="auto" w:fill="auto"/>
            <w:vAlign w:val="center"/>
          </w:tcPr>
          <w:p w14:paraId="2FDAE3B2">
            <w:pPr>
              <w:snapToGrid w:val="0"/>
              <w:spacing w:line="400" w:lineRule="exact"/>
              <w:jc w:val="center"/>
              <w:rPr>
                <w:rFonts w:ascii="宋体" w:hAnsi="宋体" w:cs="宋体"/>
                <w:b/>
                <w:color w:val="auto"/>
                <w:szCs w:val="21"/>
              </w:rPr>
            </w:pPr>
          </w:p>
        </w:tc>
      </w:tr>
    </w:tbl>
    <w:p w14:paraId="0C07103F">
      <w:pPr>
        <w:spacing w:line="400" w:lineRule="exact"/>
        <w:rPr>
          <w:rFonts w:hAnsi="宋体"/>
          <w:b/>
          <w:color w:val="auto"/>
          <w:szCs w:val="21"/>
        </w:rPr>
      </w:pPr>
    </w:p>
    <w:p w14:paraId="3B97636D">
      <w:pPr>
        <w:spacing w:line="400" w:lineRule="exact"/>
        <w:rPr>
          <w:rFonts w:hAnsi="宋体"/>
          <w:b/>
          <w:color w:val="auto"/>
          <w:szCs w:val="21"/>
        </w:rPr>
      </w:pPr>
    </w:p>
    <w:p w14:paraId="39CE30DA">
      <w:pPr>
        <w:spacing w:line="400" w:lineRule="exact"/>
        <w:jc w:val="center"/>
        <w:rPr>
          <w:rFonts w:hAnsi="宋体"/>
          <w:b/>
          <w:color w:val="auto"/>
          <w:sz w:val="32"/>
          <w:szCs w:val="32"/>
        </w:rPr>
      </w:pPr>
    </w:p>
    <w:p w14:paraId="3634F662">
      <w:pPr>
        <w:spacing w:line="400" w:lineRule="exact"/>
        <w:jc w:val="center"/>
        <w:rPr>
          <w:rFonts w:ascii="宋体" w:hAnsi="宋体"/>
          <w:b/>
          <w:color w:val="auto"/>
          <w:sz w:val="32"/>
          <w:szCs w:val="32"/>
        </w:rPr>
      </w:pPr>
      <w:r>
        <w:rPr>
          <w:rFonts w:hint="eastAsia" w:hAnsi="宋体"/>
          <w:b/>
          <w:color w:val="auto"/>
          <w:sz w:val="32"/>
          <w:szCs w:val="32"/>
        </w:rPr>
        <w:t>投标人根据评分标准提供其他材料</w:t>
      </w:r>
    </w:p>
    <w:p w14:paraId="28DCE99E">
      <w:pPr>
        <w:pStyle w:val="3"/>
        <w:spacing w:line="400" w:lineRule="exact"/>
        <w:rPr>
          <w:color w:val="auto"/>
        </w:rPr>
      </w:pPr>
    </w:p>
    <w:p w14:paraId="3DFB07F9">
      <w:pPr>
        <w:rPr>
          <w:color w:val="auto"/>
        </w:rPr>
      </w:pPr>
    </w:p>
    <w:sectPr>
      <w:footerReference r:id="rId4"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06EC">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BF64FF">
                          <w:pPr>
                            <w:pStyle w:val="1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8BF64FF">
                    <w:pPr>
                      <w:pStyle w:val="1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5015">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8986F0">
                          <w:pPr>
                            <w:pStyle w:val="13"/>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B8986F0">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BE92"/>
    <w:multiLevelType w:val="singleLevel"/>
    <w:tmpl w:val="FDBCBE92"/>
    <w:lvl w:ilvl="0" w:tentative="0">
      <w:start w:val="2"/>
      <w:numFmt w:val="decimal"/>
      <w:suff w:val="nothing"/>
      <w:lvlText w:val="（%1）"/>
      <w:lvlJc w:val="left"/>
    </w:lvl>
  </w:abstractNum>
  <w:abstractNum w:abstractNumId="1">
    <w:nsid w:val="4AD75E52"/>
    <w:multiLevelType w:val="multilevel"/>
    <w:tmpl w:val="4AD75E52"/>
    <w:lvl w:ilvl="0" w:tentative="0">
      <w:start w:val="1"/>
      <w:numFmt w:val="decimal"/>
      <w:lvlText w:val="%1、"/>
      <w:lvlJc w:val="left"/>
      <w:pPr>
        <w:tabs>
          <w:tab w:val="left" w:pos="573"/>
        </w:tabs>
        <w:ind w:left="573" w:hanging="431"/>
      </w:pPr>
      <w:rPr>
        <w:rFonts w:ascii="宋体" w:hAnsi="宋体" w:eastAsia="宋体" w:cs="Times New Roman"/>
      </w:rPr>
    </w:lvl>
    <w:lvl w:ilvl="1" w:tentative="0">
      <w:start w:val="0"/>
      <w:numFmt w:val="bullet"/>
      <w:lvlText w:val="★"/>
      <w:lvlJc w:val="left"/>
      <w:pPr>
        <w:tabs>
          <w:tab w:val="left" w:pos="563"/>
        </w:tabs>
        <w:ind w:left="563" w:hanging="360"/>
      </w:pPr>
      <w:rPr>
        <w:rFonts w:hint="eastAsia" w:ascii="宋体" w:hAnsi="宋体" w:eastAsia="宋体" w:cs="Times New Roman"/>
        <w:color w:val="auto"/>
      </w:rPr>
    </w:lvl>
    <w:lvl w:ilvl="2" w:tentative="0">
      <w:start w:val="1"/>
      <w:numFmt w:val="bullet"/>
      <w:lvlText w:val=""/>
      <w:lvlJc w:val="left"/>
      <w:pPr>
        <w:tabs>
          <w:tab w:val="left" w:pos="1043"/>
        </w:tabs>
        <w:ind w:left="1043" w:hanging="420"/>
      </w:pPr>
      <w:rPr>
        <w:rFonts w:hint="default" w:ascii="Wingdings" w:hAnsi="Wingdings"/>
      </w:rPr>
    </w:lvl>
    <w:lvl w:ilvl="3" w:tentative="0">
      <w:start w:val="1"/>
      <w:numFmt w:val="bullet"/>
      <w:lvlText w:val=""/>
      <w:lvlJc w:val="left"/>
      <w:pPr>
        <w:tabs>
          <w:tab w:val="left" w:pos="1463"/>
        </w:tabs>
        <w:ind w:left="1463" w:hanging="420"/>
      </w:pPr>
      <w:rPr>
        <w:rFonts w:hint="default" w:ascii="Wingdings" w:hAnsi="Wingdings"/>
      </w:rPr>
    </w:lvl>
    <w:lvl w:ilvl="4" w:tentative="0">
      <w:start w:val="1"/>
      <w:numFmt w:val="bullet"/>
      <w:lvlText w:val=""/>
      <w:lvlJc w:val="left"/>
      <w:pPr>
        <w:tabs>
          <w:tab w:val="left" w:pos="1883"/>
        </w:tabs>
        <w:ind w:left="1883" w:hanging="420"/>
      </w:pPr>
      <w:rPr>
        <w:rFonts w:hint="default" w:ascii="Wingdings" w:hAnsi="Wingdings"/>
      </w:rPr>
    </w:lvl>
    <w:lvl w:ilvl="5" w:tentative="0">
      <w:start w:val="1"/>
      <w:numFmt w:val="bullet"/>
      <w:lvlText w:val=""/>
      <w:lvlJc w:val="left"/>
      <w:pPr>
        <w:tabs>
          <w:tab w:val="left" w:pos="2303"/>
        </w:tabs>
        <w:ind w:left="2303" w:hanging="420"/>
      </w:pPr>
      <w:rPr>
        <w:rFonts w:hint="default" w:ascii="Wingdings" w:hAnsi="Wingdings"/>
      </w:rPr>
    </w:lvl>
    <w:lvl w:ilvl="6" w:tentative="0">
      <w:start w:val="1"/>
      <w:numFmt w:val="bullet"/>
      <w:lvlText w:val=""/>
      <w:lvlJc w:val="left"/>
      <w:pPr>
        <w:tabs>
          <w:tab w:val="left" w:pos="2723"/>
        </w:tabs>
        <w:ind w:left="2723" w:hanging="420"/>
      </w:pPr>
      <w:rPr>
        <w:rFonts w:hint="default" w:ascii="Wingdings" w:hAnsi="Wingdings"/>
      </w:rPr>
    </w:lvl>
    <w:lvl w:ilvl="7" w:tentative="0">
      <w:start w:val="1"/>
      <w:numFmt w:val="bullet"/>
      <w:lvlText w:val=""/>
      <w:lvlJc w:val="left"/>
      <w:pPr>
        <w:tabs>
          <w:tab w:val="left" w:pos="3143"/>
        </w:tabs>
        <w:ind w:left="3143" w:hanging="420"/>
      </w:pPr>
      <w:rPr>
        <w:rFonts w:hint="default" w:ascii="Wingdings" w:hAnsi="Wingdings"/>
      </w:rPr>
    </w:lvl>
    <w:lvl w:ilvl="8" w:tentative="0">
      <w:start w:val="1"/>
      <w:numFmt w:val="bullet"/>
      <w:lvlText w:val=""/>
      <w:lvlJc w:val="left"/>
      <w:pPr>
        <w:tabs>
          <w:tab w:val="left" w:pos="3563"/>
        </w:tabs>
        <w:ind w:left="3563" w:hanging="420"/>
      </w:pPr>
      <w:rPr>
        <w:rFonts w:hint="default" w:ascii="Wingdings" w:hAnsi="Wingdings"/>
      </w:rPr>
    </w:lvl>
  </w:abstractNum>
  <w:abstractNum w:abstractNumId="2">
    <w:nsid w:val="4DB84D2B"/>
    <w:multiLevelType w:val="multilevel"/>
    <w:tmpl w:val="4DB84D2B"/>
    <w:lvl w:ilvl="0" w:tentative="0">
      <w:start w:val="1"/>
      <w:numFmt w:val="decimal"/>
      <w:lvlText w:val="%1、"/>
      <w:lvlJc w:val="left"/>
      <w:pPr>
        <w:tabs>
          <w:tab w:val="left" w:pos="573"/>
        </w:tabs>
        <w:ind w:left="573" w:hanging="431"/>
      </w:pPr>
      <w:rPr>
        <w:rFonts w:ascii="宋体" w:hAnsi="宋体" w:eastAsia="宋体" w:cs="Times New Roman"/>
      </w:rPr>
    </w:lvl>
    <w:lvl w:ilvl="1" w:tentative="0">
      <w:start w:val="0"/>
      <w:numFmt w:val="bullet"/>
      <w:lvlText w:val="★"/>
      <w:lvlJc w:val="left"/>
      <w:pPr>
        <w:tabs>
          <w:tab w:val="left" w:pos="563"/>
        </w:tabs>
        <w:ind w:left="563" w:hanging="360"/>
      </w:pPr>
      <w:rPr>
        <w:rFonts w:hint="eastAsia" w:ascii="宋体" w:hAnsi="宋体" w:eastAsia="宋体" w:cs="Times New Roman"/>
        <w:color w:val="auto"/>
      </w:rPr>
    </w:lvl>
    <w:lvl w:ilvl="2" w:tentative="0">
      <w:start w:val="1"/>
      <w:numFmt w:val="bullet"/>
      <w:lvlText w:val=""/>
      <w:lvlJc w:val="left"/>
      <w:pPr>
        <w:tabs>
          <w:tab w:val="left" w:pos="1043"/>
        </w:tabs>
        <w:ind w:left="1043" w:hanging="420"/>
      </w:pPr>
      <w:rPr>
        <w:rFonts w:hint="default" w:ascii="Wingdings" w:hAnsi="Wingdings"/>
      </w:rPr>
    </w:lvl>
    <w:lvl w:ilvl="3" w:tentative="0">
      <w:start w:val="1"/>
      <w:numFmt w:val="bullet"/>
      <w:lvlText w:val=""/>
      <w:lvlJc w:val="left"/>
      <w:pPr>
        <w:tabs>
          <w:tab w:val="left" w:pos="1463"/>
        </w:tabs>
        <w:ind w:left="1463" w:hanging="420"/>
      </w:pPr>
      <w:rPr>
        <w:rFonts w:hint="default" w:ascii="Wingdings" w:hAnsi="Wingdings"/>
      </w:rPr>
    </w:lvl>
    <w:lvl w:ilvl="4" w:tentative="0">
      <w:start w:val="1"/>
      <w:numFmt w:val="bullet"/>
      <w:lvlText w:val=""/>
      <w:lvlJc w:val="left"/>
      <w:pPr>
        <w:tabs>
          <w:tab w:val="left" w:pos="1883"/>
        </w:tabs>
        <w:ind w:left="1883" w:hanging="420"/>
      </w:pPr>
      <w:rPr>
        <w:rFonts w:hint="default" w:ascii="Wingdings" w:hAnsi="Wingdings"/>
      </w:rPr>
    </w:lvl>
    <w:lvl w:ilvl="5" w:tentative="0">
      <w:start w:val="1"/>
      <w:numFmt w:val="bullet"/>
      <w:lvlText w:val=""/>
      <w:lvlJc w:val="left"/>
      <w:pPr>
        <w:tabs>
          <w:tab w:val="left" w:pos="2303"/>
        </w:tabs>
        <w:ind w:left="2303" w:hanging="420"/>
      </w:pPr>
      <w:rPr>
        <w:rFonts w:hint="default" w:ascii="Wingdings" w:hAnsi="Wingdings"/>
      </w:rPr>
    </w:lvl>
    <w:lvl w:ilvl="6" w:tentative="0">
      <w:start w:val="1"/>
      <w:numFmt w:val="bullet"/>
      <w:lvlText w:val=""/>
      <w:lvlJc w:val="left"/>
      <w:pPr>
        <w:tabs>
          <w:tab w:val="left" w:pos="2723"/>
        </w:tabs>
        <w:ind w:left="2723" w:hanging="420"/>
      </w:pPr>
      <w:rPr>
        <w:rFonts w:hint="default" w:ascii="Wingdings" w:hAnsi="Wingdings"/>
      </w:rPr>
    </w:lvl>
    <w:lvl w:ilvl="7" w:tentative="0">
      <w:start w:val="1"/>
      <w:numFmt w:val="bullet"/>
      <w:lvlText w:val=""/>
      <w:lvlJc w:val="left"/>
      <w:pPr>
        <w:tabs>
          <w:tab w:val="left" w:pos="3143"/>
        </w:tabs>
        <w:ind w:left="3143" w:hanging="420"/>
      </w:pPr>
      <w:rPr>
        <w:rFonts w:hint="default" w:ascii="Wingdings" w:hAnsi="Wingdings"/>
      </w:rPr>
    </w:lvl>
    <w:lvl w:ilvl="8" w:tentative="0">
      <w:start w:val="1"/>
      <w:numFmt w:val="bullet"/>
      <w:lvlText w:val=""/>
      <w:lvlJc w:val="left"/>
      <w:pPr>
        <w:tabs>
          <w:tab w:val="left" w:pos="3563"/>
        </w:tabs>
        <w:ind w:left="3563" w:hanging="420"/>
      </w:pPr>
      <w:rPr>
        <w:rFonts w:hint="default" w:ascii="Wingdings" w:hAnsi="Wingdings"/>
      </w:rPr>
    </w:lvl>
  </w:abstractNum>
  <w:abstractNum w:abstractNumId="3">
    <w:nsid w:val="5C946299"/>
    <w:multiLevelType w:val="singleLevel"/>
    <w:tmpl w:val="5C946299"/>
    <w:lvl w:ilvl="0" w:tentative="0">
      <w:start w:val="0"/>
      <w:numFmt w:val="decimal"/>
      <w:lvlText w:val=""/>
      <w:lvlJc w:val="left"/>
    </w:lvl>
  </w:abstractNum>
  <w:abstractNum w:abstractNumId="4">
    <w:nsid w:val="718C3A88"/>
    <w:multiLevelType w:val="singleLevel"/>
    <w:tmpl w:val="718C3A88"/>
    <w:lvl w:ilvl="0" w:tentative="0">
      <w:start w:val="1"/>
      <w:numFmt w:val="decimal"/>
      <w:suff w:val="nothing"/>
      <w:lvlText w:val="%1、"/>
      <w:lvlJc w:val="left"/>
    </w:lvl>
  </w:abstractNum>
  <w:abstractNum w:abstractNumId="5">
    <w:nsid w:val="75C16885"/>
    <w:multiLevelType w:val="singleLevel"/>
    <w:tmpl w:val="75C16885"/>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6967"/>
    <w:rsid w:val="0030649A"/>
    <w:rsid w:val="00330B9F"/>
    <w:rsid w:val="003A6A0B"/>
    <w:rsid w:val="004B64B0"/>
    <w:rsid w:val="00560257"/>
    <w:rsid w:val="006907EF"/>
    <w:rsid w:val="00A80F75"/>
    <w:rsid w:val="00AA614D"/>
    <w:rsid w:val="00AD505D"/>
    <w:rsid w:val="00BE2051"/>
    <w:rsid w:val="00C733E3"/>
    <w:rsid w:val="00D848FE"/>
    <w:rsid w:val="00DF5253"/>
    <w:rsid w:val="00E751BA"/>
    <w:rsid w:val="00E865DB"/>
    <w:rsid w:val="06367DD0"/>
    <w:rsid w:val="121360D8"/>
    <w:rsid w:val="17B05A83"/>
    <w:rsid w:val="20F17693"/>
    <w:rsid w:val="224D2F3B"/>
    <w:rsid w:val="2F88569D"/>
    <w:rsid w:val="35F76384"/>
    <w:rsid w:val="4DE07BD1"/>
    <w:rsid w:val="4F8C54B3"/>
    <w:rsid w:val="505150F2"/>
    <w:rsid w:val="5B6B3693"/>
    <w:rsid w:val="5ED1639A"/>
    <w:rsid w:val="5EE93CD1"/>
    <w:rsid w:val="61A73945"/>
    <w:rsid w:val="63636D7B"/>
    <w:rsid w:val="6AC94ED6"/>
    <w:rsid w:val="6F5536E8"/>
    <w:rsid w:val="7C0A45CB"/>
    <w:rsid w:val="7C16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0"/>
    </w:pPr>
    <w:rPr>
      <w:rFonts w:ascii="宋体" w:hAnsi="宋体" w:cs="宋体"/>
      <w:b/>
      <w:bCs/>
      <w:sz w:val="2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0"/>
    <w:pPr>
      <w:ind w:left="2940"/>
    </w:pPr>
  </w:style>
  <w:style w:type="paragraph" w:styleId="5">
    <w:name w:val="annotation text"/>
    <w:basedOn w:val="1"/>
    <w:link w:val="23"/>
    <w:qFormat/>
    <w:uiPriority w:val="0"/>
    <w:pPr>
      <w:jc w:val="left"/>
    </w:pPr>
  </w:style>
  <w:style w:type="paragraph" w:styleId="6">
    <w:name w:val="Body Text"/>
    <w:basedOn w:val="1"/>
    <w:next w:val="7"/>
    <w:qFormat/>
    <w:uiPriority w:val="0"/>
    <w:pPr>
      <w:spacing w:after="120"/>
    </w:p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引用1"/>
    <w:basedOn w:val="1"/>
    <w:next w:val="1"/>
    <w:qFormat/>
    <w:uiPriority w:val="0"/>
    <w:pPr>
      <w:ind w:left="864" w:right="864"/>
      <w:jc w:val="center"/>
    </w:pPr>
    <w:rPr>
      <w:i/>
      <w:iCs/>
      <w:color w:val="404040"/>
      <w:szCs w:val="21"/>
    </w:rPr>
  </w:style>
  <w:style w:type="paragraph" w:styleId="9">
    <w:name w:val="Body Text Indent"/>
    <w:basedOn w:val="1"/>
    <w:qFormat/>
    <w:uiPriority w:val="0"/>
    <w:pPr>
      <w:spacing w:line="460" w:lineRule="exact"/>
      <w:ind w:firstLine="560"/>
    </w:pPr>
    <w:rPr>
      <w:sz w:val="28"/>
      <w:szCs w:val="20"/>
    </w:r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kern w:val="0"/>
      <w:sz w:val="20"/>
      <w:szCs w:val="20"/>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annotation subject"/>
    <w:basedOn w:val="5"/>
    <w:next w:val="5"/>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_Style 7"/>
    <w:basedOn w:val="2"/>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1">
    <w:name w:val="列出段落1"/>
    <w:basedOn w:val="1"/>
    <w:qFormat/>
    <w:uiPriority w:val="34"/>
    <w:pPr>
      <w:ind w:left="850"/>
    </w:pPr>
    <w:rPr>
      <w:rFonts w:ascii="Calibri" w:hAnsi="Calibri"/>
      <w:szCs w:val="21"/>
    </w:rPr>
  </w:style>
  <w:style w:type="paragraph" w:customStyle="1" w:styleId="22">
    <w:name w:val="List Paragraph_40b67d30-6b8b-4697-8f49-97c11e174001"/>
    <w:basedOn w:val="1"/>
    <w:qFormat/>
    <w:uiPriority w:val="0"/>
    <w:pPr>
      <w:ind w:firstLine="420" w:firstLineChars="200"/>
    </w:pPr>
    <w:rPr>
      <w:rFonts w:ascii="Calibri" w:hAnsi="Calibri" w:cs="宋体"/>
      <w:szCs w:val="22"/>
    </w:rPr>
  </w:style>
  <w:style w:type="character" w:customStyle="1" w:styleId="23">
    <w:name w:val="批注文字 字符"/>
    <w:basedOn w:val="17"/>
    <w:link w:val="5"/>
    <w:qFormat/>
    <w:uiPriority w:val="0"/>
    <w:rPr>
      <w:rFonts w:ascii="Times New Roman" w:hAnsi="Times New Roman" w:eastAsia="宋体" w:cs="Times New Roman"/>
      <w:kern w:val="2"/>
      <w:sz w:val="21"/>
      <w:szCs w:val="24"/>
    </w:rPr>
  </w:style>
  <w:style w:type="character" w:customStyle="1" w:styleId="24">
    <w:name w:val="批注主题 字符"/>
    <w:basedOn w:val="23"/>
    <w:link w:val="14"/>
    <w:qFormat/>
    <w:uiPriority w:val="0"/>
    <w:rPr>
      <w:rFonts w:ascii="Times New Roman" w:hAnsi="Times New Roman" w:eastAsia="宋体" w:cs="Times New Roman"/>
      <w:b/>
      <w:bCs/>
      <w:kern w:val="2"/>
      <w:sz w:val="21"/>
      <w:szCs w:val="24"/>
    </w:rPr>
  </w:style>
  <w:style w:type="character" w:customStyle="1" w:styleId="25">
    <w:name w:val="批注框文本 字符"/>
    <w:basedOn w:val="17"/>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17816</Words>
  <Characters>20208</Characters>
  <Lines>162</Lines>
  <Paragraphs>45</Paragraphs>
  <TotalTime>22</TotalTime>
  <ScaleCrop>false</ScaleCrop>
  <LinksUpToDate>false</LinksUpToDate>
  <CharactersWithSpaces>20889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2025-05-27T03:40:00Z</dcterms:created>
  <dc:creator>水晶海豚</dc:creator>
  <cp:lastModifiedBy>水晶海豚</cp:lastModifiedBy>
  <dcterms:modified xsi:type="dcterms:W3CDTF">2025-06-18T09:14:18Z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4A6D06BF2CC34F36A25BDB33BD676777_13</vt:lpwstr>
  </property>
  <property fmtid="{D5CDD505-2E9C-101B-9397-08002B2CF9AE}" pid="4" name="KSOTemplateDocerSaveRecord">
    <vt:lpwstr>eyJoZGlkIjoiMjU4OGYyYzk4NzIyNWIxNDRlYWY3YTgyY2I2YzVmNzgiLCJ1c2VySWQiOiIyNzI4OTA3MjUifQ==</vt:lpwstr>
  </property>
</Properties>
</file>